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F1C50" w14:textId="5EDEB9F2" w:rsidR="001C0B99" w:rsidRDefault="00743791" w:rsidP="001C0B99">
      <w:pPr>
        <w:spacing w:after="0" w:line="240" w:lineRule="auto"/>
        <w:jc w:val="center"/>
        <w:rPr>
          <w:rFonts w:ascii="Aptos" w:eastAsia="Times New Roman" w:hAnsi="Aptos" w:cs="Times New Roman"/>
          <w:b/>
          <w:bCs/>
          <w:kern w:val="0"/>
          <w14:ligatures w14:val="none"/>
        </w:rPr>
      </w:pPr>
      <w:r>
        <w:rPr>
          <w:rFonts w:ascii="Aptos" w:eastAsia="Times New Roman" w:hAnsi="Aptos" w:cs="Times New Roman"/>
          <w:b/>
          <w:bCs/>
          <w:kern w:val="0"/>
          <w14:ligatures w14:val="none"/>
        </w:rPr>
        <w:t xml:space="preserve">Rethinking the Ceiling Plane as an Energy Asset </w:t>
      </w:r>
    </w:p>
    <w:p w14:paraId="3A13D8A8" w14:textId="05392B6C" w:rsidR="00743791" w:rsidRPr="00743791" w:rsidRDefault="005D14B3" w:rsidP="001C0B99">
      <w:pPr>
        <w:spacing w:after="0" w:line="240" w:lineRule="auto"/>
        <w:jc w:val="center"/>
        <w:rPr>
          <w:rFonts w:ascii="Aptos" w:eastAsia="Times New Roman" w:hAnsi="Aptos" w:cs="Times New Roman"/>
          <w:i/>
          <w:iCs/>
          <w:kern w:val="0"/>
          <w14:ligatures w14:val="none"/>
        </w:rPr>
      </w:pPr>
      <w:r>
        <w:rPr>
          <w:rFonts w:ascii="Aptos" w:eastAsia="Times New Roman" w:hAnsi="Aptos" w:cs="Times New Roman"/>
          <w:i/>
          <w:iCs/>
          <w:kern w:val="0"/>
          <w14:ligatures w14:val="none"/>
        </w:rPr>
        <w:t>Advantages of Using Passive Thermal Storage in a Commercial Office Renovation</w:t>
      </w:r>
    </w:p>
    <w:p w14:paraId="55DDE8D3" w14:textId="77777777" w:rsidR="001C0B99" w:rsidRDefault="001C0B99" w:rsidP="001C0B99">
      <w:pPr>
        <w:spacing w:after="0" w:line="240" w:lineRule="auto"/>
        <w:rPr>
          <w:rFonts w:ascii="Aptos" w:eastAsia="Times New Roman" w:hAnsi="Aptos" w:cs="Times New Roman"/>
          <w:kern w:val="0"/>
          <w:sz w:val="22"/>
          <w:szCs w:val="22"/>
          <w14:ligatures w14:val="none"/>
        </w:rPr>
      </w:pPr>
    </w:p>
    <w:p w14:paraId="3D39D699" w14:textId="745F407C" w:rsidR="001C0B99" w:rsidRPr="001C0B99" w:rsidRDefault="001C0B99" w:rsidP="001C0B99">
      <w:pPr>
        <w:spacing w:after="0" w:line="240" w:lineRule="auto"/>
        <w:rPr>
          <w:rFonts w:ascii="Aptos" w:hAnsi="Aptos"/>
          <w:noProof/>
          <w:sz w:val="22"/>
          <w:szCs w:val="22"/>
        </w:rPr>
      </w:pPr>
      <w:r w:rsidRPr="001C0B99">
        <w:rPr>
          <w:rFonts w:ascii="Aptos" w:hAnsi="Aptos"/>
          <w:noProof/>
          <w:sz w:val="22"/>
          <w:szCs w:val="22"/>
        </w:rPr>
        <w:t xml:space="preserve">When Swinerton Builders relocated its Inland Northwest office to the Scott Morris Center for Energy Innovation in Spokane, Washington, the project team sought to balance a unique set of facility-management priorities. The goal was to create a 9,000-square-foot high-performance workplace that prioritized occupant comfort, supported decarbonization and </w:t>
      </w:r>
      <w:r w:rsidR="00CD5E62">
        <w:rPr>
          <w:rFonts w:ascii="Aptos" w:hAnsi="Aptos"/>
          <w:noProof/>
          <w:sz w:val="22"/>
          <w:szCs w:val="22"/>
        </w:rPr>
        <w:t>used</w:t>
      </w:r>
      <w:r w:rsidRPr="001C0B99">
        <w:rPr>
          <w:rFonts w:ascii="Aptos" w:hAnsi="Aptos"/>
          <w:noProof/>
          <w:sz w:val="22"/>
          <w:szCs w:val="22"/>
        </w:rPr>
        <w:t xml:space="preserve"> industrialized construction methods to shorten the renovation schedule.</w:t>
      </w:r>
    </w:p>
    <w:p w14:paraId="6EEA6D4B" w14:textId="77777777" w:rsidR="001C0B99" w:rsidRPr="001C0B99" w:rsidRDefault="001C0B99" w:rsidP="001C0B99">
      <w:pPr>
        <w:spacing w:after="0" w:line="240" w:lineRule="auto"/>
        <w:rPr>
          <w:rFonts w:ascii="Aptos" w:hAnsi="Aptos"/>
          <w:noProof/>
          <w:sz w:val="22"/>
          <w:szCs w:val="22"/>
        </w:rPr>
      </w:pPr>
    </w:p>
    <w:p w14:paraId="326FBB8D" w14:textId="4E8C838D" w:rsidR="001C0B99" w:rsidRPr="001C0B99" w:rsidRDefault="001C0B99" w:rsidP="001C0B99">
      <w:pPr>
        <w:spacing w:after="0" w:line="240" w:lineRule="auto"/>
        <w:rPr>
          <w:rFonts w:ascii="Aptos" w:hAnsi="Aptos"/>
          <w:noProof/>
          <w:sz w:val="22"/>
          <w:szCs w:val="22"/>
        </w:rPr>
      </w:pPr>
      <w:r w:rsidRPr="001C0B99">
        <w:rPr>
          <w:rFonts w:ascii="Aptos" w:hAnsi="Aptos"/>
          <w:noProof/>
          <w:sz w:val="22"/>
          <w:szCs w:val="22"/>
        </w:rPr>
        <w:t xml:space="preserve">To meet these objectives, the project </w:t>
      </w:r>
      <w:r w:rsidR="00CD5E62">
        <w:rPr>
          <w:rFonts w:ascii="Aptos" w:hAnsi="Aptos"/>
          <w:noProof/>
          <w:sz w:val="22"/>
          <w:szCs w:val="22"/>
        </w:rPr>
        <w:t>used</w:t>
      </w:r>
      <w:r w:rsidRPr="001C0B99">
        <w:rPr>
          <w:rFonts w:ascii="Aptos" w:hAnsi="Aptos"/>
          <w:noProof/>
          <w:sz w:val="22"/>
          <w:szCs w:val="22"/>
        </w:rPr>
        <w:t xml:space="preserve"> Armstrong® Ultima® Templok® Energy Saving Ceilings as a core component of the office’s thermal and structural design. By incorporating phase change material (PCM) into the ceiling plane, the system was intended to serve as a distributed thermal-storage asset, helping stabilize indoor temperatures and reduce the mechanical load on the building’s HVAC systems.</w:t>
      </w:r>
    </w:p>
    <w:p w14:paraId="037AD9E2" w14:textId="77777777" w:rsidR="001C0B99" w:rsidRPr="001C0B99" w:rsidRDefault="001C0B99" w:rsidP="001C0B99">
      <w:pPr>
        <w:spacing w:after="0" w:line="240" w:lineRule="auto"/>
        <w:rPr>
          <w:rFonts w:ascii="Aptos" w:hAnsi="Aptos"/>
          <w:noProof/>
          <w:sz w:val="22"/>
          <w:szCs w:val="22"/>
        </w:rPr>
      </w:pPr>
    </w:p>
    <w:p w14:paraId="1B05556C" w14:textId="77777777" w:rsidR="00F806DE" w:rsidRPr="001C0B99" w:rsidRDefault="001C0B99" w:rsidP="001C0B99">
      <w:pPr>
        <w:spacing w:after="0" w:line="240" w:lineRule="auto"/>
        <w:rPr>
          <w:rFonts w:ascii="Aptos" w:hAnsi="Aptos"/>
          <w:noProof/>
          <w:sz w:val="22"/>
          <w:szCs w:val="22"/>
        </w:rPr>
      </w:pPr>
      <w:r w:rsidRPr="001C0B99">
        <w:rPr>
          <w:rFonts w:ascii="Aptos" w:hAnsi="Aptos"/>
          <w:noProof/>
          <w:sz w:val="22"/>
          <w:szCs w:val="22"/>
        </w:rPr>
        <w:t>The installation demonstrates how facility managers can evaluate interior building elements not just as finishes, but as integrated operational assets that contribute to energy efficiency, thermal stability and project economics.</w:t>
      </w:r>
    </w:p>
    <w:p w14:paraId="36AACB0E" w14:textId="77777777" w:rsidR="001C0B99" w:rsidRPr="001C0B99" w:rsidRDefault="001C0B99" w:rsidP="001C0B99">
      <w:pPr>
        <w:spacing w:after="0" w:line="240" w:lineRule="auto"/>
        <w:rPr>
          <w:rFonts w:ascii="Aptos" w:hAnsi="Aptos"/>
          <w:noProof/>
          <w:sz w:val="22"/>
          <w:szCs w:val="22"/>
        </w:rPr>
      </w:pPr>
    </w:p>
    <w:p w14:paraId="513CA21D" w14:textId="6535F838" w:rsidR="00160764" w:rsidRPr="00160764" w:rsidRDefault="000544F3" w:rsidP="001C0B99">
      <w:pPr>
        <w:spacing w:after="0" w:line="240" w:lineRule="auto"/>
        <w:rPr>
          <w:rFonts w:ascii="Aptos" w:hAnsi="Aptos"/>
          <w:b/>
          <w:bCs/>
          <w:noProof/>
          <w:sz w:val="22"/>
          <w:szCs w:val="22"/>
        </w:rPr>
      </w:pPr>
      <w:r>
        <w:rPr>
          <w:rFonts w:ascii="Aptos" w:hAnsi="Aptos"/>
          <w:b/>
          <w:bCs/>
          <w:noProof/>
          <w:sz w:val="22"/>
          <w:szCs w:val="22"/>
        </w:rPr>
        <w:t xml:space="preserve">Using </w:t>
      </w:r>
      <w:r w:rsidR="001C0B99" w:rsidRPr="001C0B99">
        <w:rPr>
          <w:rFonts w:ascii="Aptos" w:hAnsi="Aptos"/>
          <w:b/>
          <w:bCs/>
          <w:noProof/>
          <w:sz w:val="22"/>
          <w:szCs w:val="22"/>
        </w:rPr>
        <w:t>PCM Technology for Passive Thermal Storage</w:t>
      </w:r>
    </w:p>
    <w:p w14:paraId="1E241E0F" w14:textId="77777777" w:rsidR="001C0B99" w:rsidRPr="001C0B99" w:rsidRDefault="001C0B99" w:rsidP="001C0B99">
      <w:pPr>
        <w:spacing w:after="0" w:line="240" w:lineRule="auto"/>
        <w:rPr>
          <w:rFonts w:ascii="Aptos" w:hAnsi="Aptos"/>
          <w:noProof/>
          <w:sz w:val="22"/>
          <w:szCs w:val="22"/>
        </w:rPr>
      </w:pPr>
      <w:r w:rsidRPr="001C0B99">
        <w:rPr>
          <w:rFonts w:ascii="Aptos" w:hAnsi="Aptos"/>
          <w:noProof/>
          <w:sz w:val="22"/>
          <w:szCs w:val="22"/>
        </w:rPr>
        <w:t>Modern facility managers are increasingly challenged to mitigate peak energy demand driven by occupancy, lighting and solar heat gain. In a tenant-improvement context, adding new mechanical capacity can be cost-prohibitive or physically constrained by existing building envelopes.</w:t>
      </w:r>
    </w:p>
    <w:p w14:paraId="6AA1F206" w14:textId="77777777" w:rsidR="001C0B99" w:rsidRPr="001C0B99" w:rsidRDefault="001C0B99" w:rsidP="001C0B99">
      <w:pPr>
        <w:spacing w:after="0" w:line="240" w:lineRule="auto"/>
        <w:rPr>
          <w:rFonts w:ascii="Aptos" w:hAnsi="Aptos"/>
          <w:noProof/>
          <w:sz w:val="22"/>
          <w:szCs w:val="22"/>
        </w:rPr>
      </w:pPr>
    </w:p>
    <w:p w14:paraId="61CEC272" w14:textId="2894EC06" w:rsidR="001C0B99" w:rsidRPr="001C0B99" w:rsidRDefault="001C0B99" w:rsidP="001C0B99">
      <w:pPr>
        <w:spacing w:after="0" w:line="240" w:lineRule="auto"/>
        <w:rPr>
          <w:rFonts w:ascii="Aptos" w:hAnsi="Aptos"/>
          <w:noProof/>
          <w:sz w:val="22"/>
          <w:szCs w:val="22"/>
        </w:rPr>
      </w:pPr>
      <w:r w:rsidRPr="001C0B99">
        <w:rPr>
          <w:rFonts w:ascii="Aptos" w:hAnsi="Aptos"/>
          <w:noProof/>
          <w:sz w:val="22"/>
          <w:szCs w:val="22"/>
        </w:rPr>
        <w:t xml:space="preserve">To address this, the Spokane project </w:t>
      </w:r>
      <w:r w:rsidR="000544F3">
        <w:rPr>
          <w:rFonts w:ascii="Aptos" w:hAnsi="Aptos"/>
          <w:noProof/>
          <w:sz w:val="22"/>
          <w:szCs w:val="22"/>
        </w:rPr>
        <w:t xml:space="preserve">chose </w:t>
      </w:r>
      <w:r w:rsidRPr="001C0B99">
        <w:rPr>
          <w:rFonts w:ascii="Aptos" w:hAnsi="Aptos"/>
          <w:noProof/>
          <w:sz w:val="22"/>
          <w:szCs w:val="22"/>
        </w:rPr>
        <w:t xml:space="preserve">Templok Energy Saving Ceilings. These </w:t>
      </w:r>
      <w:r w:rsidR="00160764">
        <w:rPr>
          <w:rFonts w:ascii="Aptos" w:hAnsi="Aptos"/>
          <w:noProof/>
          <w:sz w:val="22"/>
          <w:szCs w:val="22"/>
        </w:rPr>
        <w:t xml:space="preserve">tiles </w:t>
      </w:r>
      <w:r w:rsidRPr="001C0B99">
        <w:rPr>
          <w:rFonts w:ascii="Aptos" w:hAnsi="Aptos"/>
          <w:noProof/>
          <w:sz w:val="22"/>
          <w:szCs w:val="22"/>
        </w:rPr>
        <w:t>incorporate PCM technology, which passively absorbs and releases thermal energy as interior temperatures fluctuate. By acting as a thermal sponge, the PCM allows the ceiling to store heat during peak periods and release it during cooler cycles. This process is intended to passively cool and warm the space, thereby reducing the runtime of mechanical HVAC systems.</w:t>
      </w:r>
    </w:p>
    <w:p w14:paraId="54066954" w14:textId="77777777" w:rsidR="001C0B99" w:rsidRPr="001C0B99" w:rsidRDefault="001C0B99" w:rsidP="001C0B99">
      <w:pPr>
        <w:spacing w:after="0" w:line="240" w:lineRule="auto"/>
        <w:rPr>
          <w:rFonts w:ascii="Aptos" w:hAnsi="Aptos"/>
          <w:noProof/>
          <w:sz w:val="22"/>
          <w:szCs w:val="22"/>
        </w:rPr>
      </w:pPr>
    </w:p>
    <w:p w14:paraId="15039429" w14:textId="45A07D22" w:rsidR="00F806DE" w:rsidRPr="001C0B99" w:rsidRDefault="001C0B99" w:rsidP="001C0B99">
      <w:pPr>
        <w:spacing w:after="0" w:line="240" w:lineRule="auto"/>
        <w:rPr>
          <w:rFonts w:ascii="Aptos" w:hAnsi="Aptos"/>
          <w:noProof/>
          <w:sz w:val="22"/>
          <w:szCs w:val="22"/>
        </w:rPr>
      </w:pPr>
      <w:r w:rsidRPr="001C0B99">
        <w:rPr>
          <w:rFonts w:ascii="Aptos" w:hAnsi="Aptos"/>
          <w:noProof/>
          <w:sz w:val="22"/>
          <w:szCs w:val="22"/>
        </w:rPr>
        <w:t xml:space="preserve">In this specific application, the Templok </w:t>
      </w:r>
      <w:r w:rsidR="00160764">
        <w:rPr>
          <w:rFonts w:ascii="Aptos" w:hAnsi="Aptos"/>
          <w:noProof/>
          <w:sz w:val="22"/>
          <w:szCs w:val="22"/>
        </w:rPr>
        <w:t>tiles</w:t>
      </w:r>
      <w:r w:rsidRPr="001C0B99">
        <w:rPr>
          <w:rFonts w:ascii="Aptos" w:hAnsi="Aptos"/>
          <w:noProof/>
          <w:sz w:val="22"/>
          <w:szCs w:val="22"/>
        </w:rPr>
        <w:t xml:space="preserve"> were selected to prioritize occupant wellbeing by reducing the temperature swings that often occur in high-performing buildings. The installation illustrates a shift in how facility teams can approach space conditioning: by </w:t>
      </w:r>
      <w:r w:rsidR="000544F3">
        <w:rPr>
          <w:rFonts w:ascii="Aptos" w:hAnsi="Aptos"/>
          <w:noProof/>
          <w:sz w:val="22"/>
          <w:szCs w:val="22"/>
        </w:rPr>
        <w:t>using</w:t>
      </w:r>
      <w:r w:rsidRPr="001C0B99">
        <w:rPr>
          <w:rFonts w:ascii="Aptos" w:hAnsi="Aptos"/>
          <w:noProof/>
          <w:sz w:val="22"/>
          <w:szCs w:val="22"/>
        </w:rPr>
        <w:t xml:space="preserve"> passive interior materials to complement mechanical systems, they can achieve a more stable thermal environment with lower operational energy requirements.</w:t>
      </w:r>
    </w:p>
    <w:p w14:paraId="455797CD" w14:textId="77777777" w:rsidR="001C0B99" w:rsidRPr="001C0B99" w:rsidRDefault="001C0B99" w:rsidP="001C0B99">
      <w:pPr>
        <w:spacing w:after="0" w:line="240" w:lineRule="auto"/>
        <w:rPr>
          <w:rFonts w:ascii="Aptos" w:hAnsi="Aptos"/>
          <w:noProof/>
          <w:sz w:val="22"/>
          <w:szCs w:val="22"/>
        </w:rPr>
      </w:pPr>
    </w:p>
    <w:p w14:paraId="4C676212" w14:textId="77777777" w:rsidR="00160764" w:rsidRPr="00160764" w:rsidRDefault="001C0B99" w:rsidP="001C0B99">
      <w:pPr>
        <w:spacing w:after="0" w:line="240" w:lineRule="auto"/>
        <w:rPr>
          <w:rFonts w:ascii="Aptos" w:hAnsi="Aptos"/>
          <w:b/>
          <w:bCs/>
          <w:noProof/>
          <w:sz w:val="22"/>
          <w:szCs w:val="22"/>
        </w:rPr>
      </w:pPr>
      <w:r w:rsidRPr="001C0B99">
        <w:rPr>
          <w:rFonts w:ascii="Aptos" w:hAnsi="Aptos"/>
          <w:b/>
          <w:bCs/>
          <w:noProof/>
          <w:sz w:val="22"/>
          <w:szCs w:val="22"/>
        </w:rPr>
        <w:t>Coordinating Systems through Modular Installation</w:t>
      </w:r>
    </w:p>
    <w:p w14:paraId="352A3B22" w14:textId="705DAEBB" w:rsidR="001C0B99" w:rsidRPr="001C0B99" w:rsidRDefault="001C0B99" w:rsidP="001C0B99">
      <w:pPr>
        <w:spacing w:after="0" w:line="240" w:lineRule="auto"/>
        <w:rPr>
          <w:rFonts w:ascii="Aptos" w:hAnsi="Aptos"/>
          <w:noProof/>
          <w:sz w:val="22"/>
          <w:szCs w:val="22"/>
        </w:rPr>
      </w:pPr>
      <w:r w:rsidRPr="001C0B99">
        <w:rPr>
          <w:rFonts w:ascii="Aptos" w:hAnsi="Aptos"/>
          <w:noProof/>
          <w:sz w:val="22"/>
          <w:szCs w:val="22"/>
        </w:rPr>
        <w:t>The Spokane project also</w:t>
      </w:r>
      <w:r w:rsidR="00F66CD2">
        <w:rPr>
          <w:rFonts w:ascii="Aptos" w:hAnsi="Aptos"/>
          <w:noProof/>
          <w:sz w:val="22"/>
          <w:szCs w:val="22"/>
        </w:rPr>
        <w:t xml:space="preserve"> used</w:t>
      </w:r>
      <w:r w:rsidRPr="001C0B99">
        <w:rPr>
          <w:rFonts w:ascii="Aptos" w:hAnsi="Aptos"/>
          <w:noProof/>
          <w:sz w:val="22"/>
          <w:szCs w:val="22"/>
        </w:rPr>
        <w:t xml:space="preserve"> a modular construction approach to resolve the complex coordination required within a ceiling plane. Armstrong and Overcast Innovations collaborated to install Modular Grid Platform assemblies, which integrated the Templok ceiling </w:t>
      </w:r>
      <w:r w:rsidR="00160764">
        <w:rPr>
          <w:rFonts w:ascii="Aptos" w:hAnsi="Aptos"/>
          <w:noProof/>
          <w:sz w:val="22"/>
          <w:szCs w:val="22"/>
        </w:rPr>
        <w:t>tiles</w:t>
      </w:r>
      <w:r w:rsidRPr="001C0B99">
        <w:rPr>
          <w:rFonts w:ascii="Aptos" w:hAnsi="Aptos"/>
          <w:noProof/>
          <w:sz w:val="22"/>
          <w:szCs w:val="22"/>
        </w:rPr>
        <w:t xml:space="preserve"> with the office's mechanical, electrical and fire/life-safety systems.</w:t>
      </w:r>
    </w:p>
    <w:p w14:paraId="302B6517" w14:textId="77777777" w:rsidR="001C0B99" w:rsidRPr="001C0B99" w:rsidRDefault="001C0B99" w:rsidP="001C0B99">
      <w:pPr>
        <w:spacing w:after="0" w:line="240" w:lineRule="auto"/>
        <w:rPr>
          <w:rFonts w:ascii="Aptos" w:hAnsi="Aptos"/>
          <w:noProof/>
          <w:sz w:val="22"/>
          <w:szCs w:val="22"/>
        </w:rPr>
      </w:pPr>
    </w:p>
    <w:p w14:paraId="0BD1DFC0" w14:textId="77777777" w:rsidR="001C0B99" w:rsidRPr="001C0B99" w:rsidRDefault="001C0B99" w:rsidP="001C0B99">
      <w:pPr>
        <w:spacing w:after="0" w:line="240" w:lineRule="auto"/>
        <w:rPr>
          <w:rFonts w:ascii="Aptos" w:hAnsi="Aptos"/>
          <w:noProof/>
          <w:sz w:val="22"/>
          <w:szCs w:val="22"/>
        </w:rPr>
      </w:pPr>
      <w:r w:rsidRPr="001C0B99">
        <w:rPr>
          <w:rFonts w:ascii="Aptos" w:hAnsi="Aptos"/>
          <w:noProof/>
          <w:sz w:val="22"/>
          <w:szCs w:val="22"/>
        </w:rPr>
        <w:t>For facility managers, this approach addresses a critical lifecycle issue: above-ceiling coordination. Traditional renovations often lead to conflicts between building services, resulting in inaccessible valves, undocumented routing and maintenance obstructions.</w:t>
      </w:r>
    </w:p>
    <w:p w14:paraId="0D818BAA" w14:textId="77777777" w:rsidR="001C0B99" w:rsidRPr="001C0B99" w:rsidRDefault="001C0B99" w:rsidP="001C0B99">
      <w:pPr>
        <w:spacing w:after="0" w:line="240" w:lineRule="auto"/>
        <w:rPr>
          <w:rFonts w:ascii="Aptos" w:hAnsi="Aptos"/>
          <w:noProof/>
          <w:sz w:val="22"/>
          <w:szCs w:val="22"/>
        </w:rPr>
      </w:pPr>
    </w:p>
    <w:p w14:paraId="3DD7B41A" w14:textId="05FD24BD" w:rsidR="001C0B99" w:rsidRPr="001C0B99" w:rsidRDefault="001C0B99" w:rsidP="001C0B99">
      <w:pPr>
        <w:spacing w:after="0" w:line="240" w:lineRule="auto"/>
        <w:rPr>
          <w:rFonts w:ascii="Aptos" w:hAnsi="Aptos"/>
          <w:noProof/>
          <w:sz w:val="22"/>
          <w:szCs w:val="22"/>
        </w:rPr>
      </w:pPr>
      <w:r w:rsidRPr="001C0B99">
        <w:rPr>
          <w:rFonts w:ascii="Aptos" w:hAnsi="Aptos"/>
          <w:noProof/>
          <w:sz w:val="22"/>
          <w:szCs w:val="22"/>
        </w:rPr>
        <w:t xml:space="preserve">By </w:t>
      </w:r>
      <w:r w:rsidR="00F66CD2">
        <w:rPr>
          <w:rFonts w:ascii="Aptos" w:hAnsi="Aptos"/>
          <w:noProof/>
          <w:sz w:val="22"/>
          <w:szCs w:val="22"/>
        </w:rPr>
        <w:t xml:space="preserve">using </w:t>
      </w:r>
      <w:r w:rsidRPr="001C0B99">
        <w:rPr>
          <w:rFonts w:ascii="Aptos" w:hAnsi="Aptos"/>
          <w:noProof/>
          <w:sz w:val="22"/>
          <w:szCs w:val="22"/>
        </w:rPr>
        <w:t xml:space="preserve">a prefabricated, integrated assembly, the Swinerton project resolved these service intersections during the design and fabrication phases. This not only supported a faster installation </w:t>
      </w:r>
      <w:r w:rsidRPr="001C0B99">
        <w:rPr>
          <w:rFonts w:ascii="Aptos" w:hAnsi="Aptos"/>
          <w:noProof/>
          <w:sz w:val="22"/>
          <w:szCs w:val="22"/>
        </w:rPr>
        <w:lastRenderedPageBreak/>
        <w:t>time but also ensured that maintenance teams would have clear, documented access to critical building assets after turnover. This strategy highlights the importance of evaluating a ceiling system based on its ability to coordinate</w:t>
      </w:r>
      <w:r w:rsidR="00160764">
        <w:rPr>
          <w:rFonts w:ascii="Aptos" w:hAnsi="Aptos"/>
          <w:noProof/>
          <w:sz w:val="22"/>
          <w:szCs w:val="22"/>
        </w:rPr>
        <w:t xml:space="preserve">, </w:t>
      </w:r>
      <w:r w:rsidRPr="001C0B99">
        <w:rPr>
          <w:rFonts w:ascii="Aptos" w:hAnsi="Aptos"/>
          <w:noProof/>
          <w:sz w:val="22"/>
          <w:szCs w:val="22"/>
        </w:rPr>
        <w:t>rather than compete with</w:t>
      </w:r>
      <w:r w:rsidR="00160764">
        <w:rPr>
          <w:rFonts w:ascii="Aptos" w:hAnsi="Aptos"/>
          <w:noProof/>
          <w:sz w:val="22"/>
          <w:szCs w:val="22"/>
        </w:rPr>
        <w:t xml:space="preserve">, </w:t>
      </w:r>
      <w:r w:rsidRPr="001C0B99">
        <w:rPr>
          <w:rFonts w:ascii="Aptos" w:hAnsi="Aptos"/>
          <w:noProof/>
          <w:sz w:val="22"/>
          <w:szCs w:val="22"/>
        </w:rPr>
        <w:t>the broader facility infrastructure.</w:t>
      </w:r>
    </w:p>
    <w:p w14:paraId="17251DE4" w14:textId="77777777" w:rsidR="001C0B99" w:rsidRPr="001C0B99" w:rsidRDefault="001C0B99" w:rsidP="001C0B99">
      <w:pPr>
        <w:spacing w:after="0" w:line="240" w:lineRule="auto"/>
        <w:rPr>
          <w:rFonts w:ascii="Aptos" w:hAnsi="Aptos"/>
          <w:noProof/>
          <w:sz w:val="22"/>
          <w:szCs w:val="22"/>
        </w:rPr>
      </w:pPr>
    </w:p>
    <w:p w14:paraId="05F88282" w14:textId="77777777" w:rsidR="00160764" w:rsidRPr="00160764" w:rsidRDefault="001C0B99" w:rsidP="001C0B99">
      <w:pPr>
        <w:spacing w:after="0" w:line="240" w:lineRule="auto"/>
        <w:rPr>
          <w:rFonts w:ascii="Aptos" w:hAnsi="Aptos"/>
          <w:b/>
          <w:bCs/>
          <w:noProof/>
          <w:sz w:val="22"/>
          <w:szCs w:val="22"/>
        </w:rPr>
      </w:pPr>
      <w:r w:rsidRPr="001C0B99">
        <w:rPr>
          <w:rFonts w:ascii="Aptos" w:hAnsi="Aptos"/>
          <w:b/>
          <w:bCs/>
          <w:noProof/>
          <w:sz w:val="22"/>
          <w:szCs w:val="22"/>
        </w:rPr>
        <w:t>Measuring the Financial Impact: The Section 48E Case Study</w:t>
      </w:r>
    </w:p>
    <w:p w14:paraId="29B35E10" w14:textId="77777777" w:rsidR="001C0B99" w:rsidRPr="001C0B99" w:rsidRDefault="001C0B99" w:rsidP="001C0B99">
      <w:pPr>
        <w:spacing w:after="0" w:line="240" w:lineRule="auto"/>
        <w:rPr>
          <w:rFonts w:ascii="Aptos" w:hAnsi="Aptos"/>
          <w:noProof/>
          <w:sz w:val="22"/>
          <w:szCs w:val="22"/>
        </w:rPr>
      </w:pPr>
      <w:r w:rsidRPr="001C0B99">
        <w:rPr>
          <w:rFonts w:ascii="Aptos" w:hAnsi="Aptos"/>
          <w:noProof/>
          <w:sz w:val="22"/>
          <w:szCs w:val="22"/>
        </w:rPr>
        <w:t xml:space="preserve">One of the most notable outcomes of the Spokane project was its financial documentation. A 2025 study prepared by Ryan LLC supported the view that the Templok ceiling </w:t>
      </w:r>
      <w:r w:rsidR="00160764">
        <w:rPr>
          <w:rFonts w:ascii="Aptos" w:hAnsi="Aptos"/>
          <w:noProof/>
          <w:sz w:val="22"/>
          <w:szCs w:val="22"/>
        </w:rPr>
        <w:t>tiles,</w:t>
      </w:r>
      <w:r w:rsidRPr="001C0B99">
        <w:rPr>
          <w:rFonts w:ascii="Aptos" w:hAnsi="Aptos"/>
          <w:noProof/>
          <w:sz w:val="22"/>
          <w:szCs w:val="22"/>
        </w:rPr>
        <w:t xml:space="preserve"> along with the associated suspension system, trim and labor, may qualify as a thermal energy storage property</w:t>
      </w:r>
      <w:r w:rsidR="00160764">
        <w:rPr>
          <w:rFonts w:ascii="Aptos" w:hAnsi="Aptos"/>
          <w:noProof/>
          <w:sz w:val="22"/>
          <w:szCs w:val="22"/>
        </w:rPr>
        <w:t xml:space="preserve"> </w:t>
      </w:r>
      <w:r w:rsidRPr="001C0B99">
        <w:rPr>
          <w:rFonts w:ascii="Aptos" w:hAnsi="Aptos"/>
          <w:noProof/>
          <w:sz w:val="22"/>
          <w:szCs w:val="22"/>
        </w:rPr>
        <w:t>for purposes of the U.S. Section 48E Clean Electricity Investment Tax Credit.</w:t>
      </w:r>
    </w:p>
    <w:p w14:paraId="612C656D" w14:textId="77777777" w:rsidR="001C0B99" w:rsidRPr="001C0B99" w:rsidRDefault="001C0B99" w:rsidP="001C0B99">
      <w:pPr>
        <w:spacing w:after="0" w:line="240" w:lineRule="auto"/>
        <w:rPr>
          <w:rFonts w:ascii="Aptos" w:hAnsi="Aptos"/>
          <w:noProof/>
          <w:sz w:val="22"/>
          <w:szCs w:val="22"/>
        </w:rPr>
      </w:pPr>
    </w:p>
    <w:p w14:paraId="7F3BE9B9" w14:textId="77777777" w:rsidR="001C0B99" w:rsidRPr="001C0B99" w:rsidRDefault="001C0B99" w:rsidP="001C0B99">
      <w:pPr>
        <w:spacing w:after="0" w:line="240" w:lineRule="auto"/>
        <w:rPr>
          <w:rFonts w:ascii="Aptos" w:hAnsi="Aptos"/>
          <w:noProof/>
          <w:sz w:val="22"/>
          <w:szCs w:val="22"/>
        </w:rPr>
      </w:pPr>
      <w:r w:rsidRPr="001C0B99">
        <w:rPr>
          <w:rFonts w:ascii="Aptos" w:hAnsi="Aptos"/>
          <w:noProof/>
          <w:sz w:val="22"/>
          <w:szCs w:val="22"/>
        </w:rPr>
        <w:t>The study confirmed that the Templok ceiling tiles met domestic-content and Foreign Entity of Concern (FEOC) requirements, both of which are critical for incentive eligibility. In the Swinerton renovation, the reported § 48E tax credit totaled more than US</w:t>
      </w:r>
      <w:r w:rsidR="00160764">
        <w:rPr>
          <w:rFonts w:ascii="Aptos" w:hAnsi="Aptos"/>
          <w:noProof/>
          <w:sz w:val="22"/>
          <w:szCs w:val="22"/>
        </w:rPr>
        <w:t xml:space="preserve"> </w:t>
      </w:r>
      <w:r w:rsidRPr="001C0B99">
        <w:rPr>
          <w:rFonts w:ascii="Aptos" w:hAnsi="Aptos"/>
          <w:noProof/>
          <w:sz w:val="22"/>
          <w:szCs w:val="22"/>
        </w:rPr>
        <w:t>$25 per square foot, resulting in savings of approximately 37% of the final project costs.</w:t>
      </w:r>
    </w:p>
    <w:p w14:paraId="38826A53" w14:textId="77777777" w:rsidR="001C0B99" w:rsidRPr="001C0B99" w:rsidRDefault="001C0B99" w:rsidP="001C0B99">
      <w:pPr>
        <w:spacing w:after="0" w:line="240" w:lineRule="auto"/>
        <w:rPr>
          <w:rFonts w:ascii="Aptos" w:hAnsi="Aptos"/>
          <w:noProof/>
          <w:sz w:val="22"/>
          <w:szCs w:val="22"/>
        </w:rPr>
      </w:pPr>
    </w:p>
    <w:p w14:paraId="7E35BF66" w14:textId="77777777" w:rsidR="00F806DE" w:rsidRPr="001C0B99" w:rsidRDefault="001C0B99" w:rsidP="001C0B99">
      <w:pPr>
        <w:spacing w:after="0" w:line="240" w:lineRule="auto"/>
        <w:rPr>
          <w:rFonts w:ascii="Aptos" w:hAnsi="Aptos"/>
          <w:noProof/>
          <w:sz w:val="22"/>
          <w:szCs w:val="22"/>
        </w:rPr>
      </w:pPr>
      <w:r w:rsidRPr="001C0B99">
        <w:rPr>
          <w:rFonts w:ascii="Aptos" w:hAnsi="Aptos"/>
          <w:noProof/>
          <w:sz w:val="22"/>
          <w:szCs w:val="22"/>
        </w:rPr>
        <w:t>While this financial result was specific to the project’s location and documentation, it serves as a credible data point for facility managers. It demonstrates that when energy-saving technologies like Templok are properly documented and verified, they can significantly improve the project’s return on investment (ROI) by unlocking federal and local incentives that are traditionally reserved for mechanical infrastructure.</w:t>
      </w:r>
    </w:p>
    <w:p w14:paraId="6EFCB6AB" w14:textId="77777777" w:rsidR="00F806DE" w:rsidRPr="001C0B99" w:rsidRDefault="00F806DE" w:rsidP="00F806DE">
      <w:pPr>
        <w:spacing w:after="0" w:line="240" w:lineRule="auto"/>
        <w:rPr>
          <w:rFonts w:ascii="Aptos" w:hAnsi="Aptos"/>
          <w:b/>
          <w:bCs/>
          <w:noProof/>
          <w:sz w:val="22"/>
          <w:szCs w:val="22"/>
        </w:rPr>
      </w:pPr>
    </w:p>
    <w:p w14:paraId="6FF8BFD2" w14:textId="77777777" w:rsidR="00160764" w:rsidRPr="00160764" w:rsidRDefault="001C0B99" w:rsidP="001C0B99">
      <w:pPr>
        <w:spacing w:after="0" w:line="240" w:lineRule="auto"/>
        <w:rPr>
          <w:rFonts w:ascii="Aptos" w:hAnsi="Aptos"/>
          <w:b/>
          <w:bCs/>
          <w:noProof/>
          <w:sz w:val="22"/>
          <w:szCs w:val="22"/>
        </w:rPr>
      </w:pPr>
      <w:r w:rsidRPr="001C0B99">
        <w:rPr>
          <w:rFonts w:ascii="Aptos" w:hAnsi="Aptos"/>
          <w:b/>
          <w:bCs/>
          <w:noProof/>
          <w:sz w:val="22"/>
          <w:szCs w:val="22"/>
        </w:rPr>
        <w:t>Facility Management Takeaways from the Swinerton Project</w:t>
      </w:r>
    </w:p>
    <w:p w14:paraId="34E3C550" w14:textId="77777777" w:rsidR="001C0B99" w:rsidRDefault="001C0B99" w:rsidP="001C0B99">
      <w:pPr>
        <w:spacing w:after="0" w:line="240" w:lineRule="auto"/>
        <w:rPr>
          <w:rFonts w:ascii="Aptos" w:hAnsi="Aptos"/>
          <w:noProof/>
          <w:sz w:val="22"/>
          <w:szCs w:val="22"/>
        </w:rPr>
      </w:pPr>
      <w:r w:rsidRPr="001C0B99">
        <w:rPr>
          <w:rFonts w:ascii="Aptos" w:hAnsi="Aptos"/>
          <w:noProof/>
          <w:sz w:val="22"/>
          <w:szCs w:val="22"/>
        </w:rPr>
        <w:t>The Swinerton project offers a replicable framework for facility teams evaluating energy-focused renovations:</w:t>
      </w:r>
    </w:p>
    <w:p w14:paraId="211568CE" w14:textId="77777777" w:rsidR="00160764" w:rsidRPr="001C0B99" w:rsidRDefault="00160764" w:rsidP="001C0B99">
      <w:pPr>
        <w:spacing w:after="0" w:line="240" w:lineRule="auto"/>
        <w:rPr>
          <w:rFonts w:ascii="Aptos" w:hAnsi="Aptos"/>
          <w:noProof/>
          <w:sz w:val="22"/>
          <w:szCs w:val="22"/>
        </w:rPr>
      </w:pPr>
    </w:p>
    <w:p w14:paraId="4D62590A" w14:textId="77777777" w:rsidR="001C0B99" w:rsidRPr="001C0B99" w:rsidRDefault="001C0B99" w:rsidP="001C0B99">
      <w:pPr>
        <w:pStyle w:val="ListParagraph"/>
        <w:numPr>
          <w:ilvl w:val="0"/>
          <w:numId w:val="8"/>
        </w:numPr>
        <w:spacing w:after="0" w:line="240" w:lineRule="auto"/>
        <w:rPr>
          <w:rFonts w:ascii="Aptos" w:hAnsi="Aptos"/>
          <w:noProof/>
          <w:sz w:val="22"/>
          <w:szCs w:val="22"/>
        </w:rPr>
      </w:pPr>
      <w:r w:rsidRPr="00160764">
        <w:rPr>
          <w:rFonts w:ascii="Aptos" w:hAnsi="Aptos"/>
          <w:b/>
          <w:bCs/>
          <w:noProof/>
          <w:sz w:val="22"/>
          <w:szCs w:val="22"/>
        </w:rPr>
        <w:t xml:space="preserve">Evaluate the Ceiling Plane as a Thermal Asset: </w:t>
      </w:r>
      <w:r w:rsidRPr="001C0B99">
        <w:rPr>
          <w:rFonts w:ascii="Aptos" w:hAnsi="Aptos"/>
          <w:noProof/>
          <w:sz w:val="22"/>
          <w:szCs w:val="22"/>
        </w:rPr>
        <w:t>Passive thermal storage, such as that provided by Templok ceilings, can offset peak HVAC loads and improve occupant comfort without adding mechanical complexity.</w:t>
      </w:r>
    </w:p>
    <w:p w14:paraId="50FEA2EF" w14:textId="77777777" w:rsidR="001C0B99" w:rsidRPr="001C0B99" w:rsidRDefault="001C0B99" w:rsidP="001C0B99">
      <w:pPr>
        <w:pStyle w:val="ListParagraph"/>
        <w:numPr>
          <w:ilvl w:val="0"/>
          <w:numId w:val="8"/>
        </w:numPr>
        <w:spacing w:after="0" w:line="240" w:lineRule="auto"/>
        <w:rPr>
          <w:rFonts w:ascii="Aptos" w:hAnsi="Aptos"/>
          <w:noProof/>
          <w:sz w:val="22"/>
          <w:szCs w:val="22"/>
        </w:rPr>
      </w:pPr>
      <w:r w:rsidRPr="00160764">
        <w:rPr>
          <w:rFonts w:ascii="Aptos" w:hAnsi="Aptos"/>
          <w:b/>
          <w:bCs/>
          <w:noProof/>
          <w:sz w:val="22"/>
          <w:szCs w:val="22"/>
        </w:rPr>
        <w:t xml:space="preserve">Prioritize Systems Integration: </w:t>
      </w:r>
      <w:r w:rsidRPr="001C0B99">
        <w:rPr>
          <w:rFonts w:ascii="Aptos" w:hAnsi="Aptos"/>
          <w:noProof/>
          <w:sz w:val="22"/>
          <w:szCs w:val="22"/>
        </w:rPr>
        <w:t>Coordinating ceiling panels with MEP and life-safety systems through modular platforms can reduce field errors and improve long-term maintenance access.</w:t>
      </w:r>
    </w:p>
    <w:p w14:paraId="53BD7D8B" w14:textId="77777777" w:rsidR="001C0B99" w:rsidRPr="001C0B99" w:rsidRDefault="001C0B99" w:rsidP="001C0B99">
      <w:pPr>
        <w:pStyle w:val="ListParagraph"/>
        <w:numPr>
          <w:ilvl w:val="0"/>
          <w:numId w:val="8"/>
        </w:numPr>
        <w:spacing w:after="0" w:line="240" w:lineRule="auto"/>
        <w:rPr>
          <w:rFonts w:ascii="Aptos" w:hAnsi="Aptos"/>
          <w:noProof/>
          <w:sz w:val="22"/>
          <w:szCs w:val="22"/>
        </w:rPr>
      </w:pPr>
      <w:r w:rsidRPr="00160764">
        <w:rPr>
          <w:rFonts w:ascii="Aptos" w:hAnsi="Aptos"/>
          <w:b/>
          <w:bCs/>
          <w:noProof/>
          <w:sz w:val="22"/>
          <w:szCs w:val="22"/>
        </w:rPr>
        <w:t>Investigate Incentives Early:</w:t>
      </w:r>
      <w:r w:rsidRPr="001C0B99">
        <w:rPr>
          <w:rFonts w:ascii="Aptos" w:hAnsi="Aptos"/>
          <w:noProof/>
          <w:sz w:val="22"/>
          <w:szCs w:val="22"/>
        </w:rPr>
        <w:t xml:space="preserve"> Facility managers should engage tax and energy consultants during the design phase to identify credits, such as Section 48E, that may apply to PCM-based technologies.</w:t>
      </w:r>
    </w:p>
    <w:p w14:paraId="27862BB8" w14:textId="77777777" w:rsidR="001C0B99" w:rsidRPr="001C0B99" w:rsidRDefault="001C0B99" w:rsidP="001C0B99">
      <w:pPr>
        <w:pStyle w:val="ListParagraph"/>
        <w:numPr>
          <w:ilvl w:val="0"/>
          <w:numId w:val="8"/>
        </w:numPr>
        <w:spacing w:after="0" w:line="240" w:lineRule="auto"/>
        <w:rPr>
          <w:rFonts w:ascii="Aptos" w:hAnsi="Aptos"/>
          <w:noProof/>
          <w:sz w:val="22"/>
          <w:szCs w:val="22"/>
        </w:rPr>
      </w:pPr>
      <w:r w:rsidRPr="00160764">
        <w:rPr>
          <w:rFonts w:ascii="Aptos" w:hAnsi="Aptos"/>
          <w:b/>
          <w:bCs/>
          <w:noProof/>
          <w:sz w:val="22"/>
          <w:szCs w:val="22"/>
        </w:rPr>
        <w:t>Establish a Post-Occupancy Verification Plan:</w:t>
      </w:r>
      <w:r w:rsidRPr="001C0B99">
        <w:rPr>
          <w:rFonts w:ascii="Aptos" w:hAnsi="Aptos"/>
          <w:noProof/>
          <w:sz w:val="22"/>
          <w:szCs w:val="22"/>
        </w:rPr>
        <w:t xml:space="preserve"> To ensure intended outcomes, the Swinerton office energy asset was placed in service after a full year of occupancy (March 2025) to analyze heating and cooling performance across all seasonal cycles.</w:t>
      </w:r>
    </w:p>
    <w:p w14:paraId="6147ECBC" w14:textId="77777777" w:rsidR="00160764" w:rsidRDefault="00160764" w:rsidP="001C0B99">
      <w:pPr>
        <w:spacing w:after="0" w:line="240" w:lineRule="auto"/>
        <w:rPr>
          <w:rFonts w:ascii="Aptos" w:hAnsi="Aptos"/>
          <w:b/>
          <w:bCs/>
          <w:noProof/>
          <w:sz w:val="22"/>
          <w:szCs w:val="22"/>
        </w:rPr>
      </w:pPr>
    </w:p>
    <w:p w14:paraId="1F51DFA9" w14:textId="77777777" w:rsidR="00160764" w:rsidRPr="001C0B99" w:rsidRDefault="001C0B99" w:rsidP="001C0B99">
      <w:pPr>
        <w:spacing w:after="0" w:line="240" w:lineRule="auto"/>
        <w:rPr>
          <w:rFonts w:ascii="Aptos" w:hAnsi="Aptos"/>
          <w:b/>
          <w:bCs/>
          <w:noProof/>
          <w:sz w:val="22"/>
          <w:szCs w:val="22"/>
        </w:rPr>
      </w:pPr>
      <w:r w:rsidRPr="001C0B99">
        <w:rPr>
          <w:rFonts w:ascii="Aptos" w:hAnsi="Aptos"/>
          <w:b/>
          <w:bCs/>
          <w:noProof/>
          <w:sz w:val="22"/>
          <w:szCs w:val="22"/>
        </w:rPr>
        <w:t>Conclusion</w:t>
      </w:r>
    </w:p>
    <w:p w14:paraId="22FE176F" w14:textId="77777777" w:rsidR="001C0B99" w:rsidRPr="001C0B99" w:rsidRDefault="001C0B99" w:rsidP="001C0B99">
      <w:pPr>
        <w:spacing w:after="0" w:line="240" w:lineRule="auto"/>
        <w:rPr>
          <w:rFonts w:ascii="Aptos" w:hAnsi="Aptos"/>
          <w:noProof/>
          <w:sz w:val="22"/>
          <w:szCs w:val="22"/>
        </w:rPr>
      </w:pPr>
      <w:r w:rsidRPr="001C0B99">
        <w:rPr>
          <w:rFonts w:ascii="Aptos" w:hAnsi="Aptos"/>
          <w:noProof/>
          <w:sz w:val="22"/>
          <w:szCs w:val="22"/>
        </w:rPr>
        <w:t>The renovation of the Swinerton Inland Northwest office demonstrates that interior building systems can play a strategic role in facility operations. By treating Templok Energy Saving Ceilings as an integrated thermal-storage asset rather than a standard finish, the project team was able to address energy, comfort and project economics within a single, coordinated system.</w:t>
      </w:r>
    </w:p>
    <w:p w14:paraId="08D5CA47" w14:textId="77777777" w:rsidR="001C0B99" w:rsidRPr="001C0B99" w:rsidRDefault="001C0B99" w:rsidP="001C0B99">
      <w:pPr>
        <w:spacing w:after="0" w:line="240" w:lineRule="auto"/>
        <w:rPr>
          <w:rFonts w:ascii="Aptos" w:hAnsi="Aptos"/>
          <w:noProof/>
          <w:sz w:val="22"/>
          <w:szCs w:val="22"/>
        </w:rPr>
      </w:pPr>
    </w:p>
    <w:p w14:paraId="0CBDCE2D" w14:textId="77777777" w:rsidR="0086536E" w:rsidRPr="001C0B99" w:rsidRDefault="001C0B99" w:rsidP="001C0B99">
      <w:pPr>
        <w:spacing w:after="0" w:line="240" w:lineRule="auto"/>
        <w:rPr>
          <w:rFonts w:ascii="Aptos" w:hAnsi="Aptos"/>
          <w:noProof/>
          <w:sz w:val="22"/>
          <w:szCs w:val="22"/>
        </w:rPr>
      </w:pPr>
      <w:r w:rsidRPr="001C0B99">
        <w:rPr>
          <w:rFonts w:ascii="Aptos" w:hAnsi="Aptos"/>
          <w:noProof/>
          <w:sz w:val="22"/>
          <w:szCs w:val="22"/>
        </w:rPr>
        <w:t>For facility managers, the project provides a blueprint for leveraging passive technology and coordinated construction to meet the growing demands for sustainable, cost-effective and occupant-centric workplaces.</w:t>
      </w:r>
    </w:p>
    <w:sectPr w:rsidR="0086536E" w:rsidRPr="001C0B99" w:rsidSect="008076AE">
      <w:footerReference w:type="default" r:id="rId10"/>
      <w:headerReference w:type="first" r:id="rId11"/>
      <w:footerReference w:type="first" r:id="rId12"/>
      <w:pgSz w:w="12240" w:h="15840"/>
      <w:pgMar w:top="1440" w:right="1440" w:bottom="1440" w:left="1440" w:header="0" w:footer="144"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72A93" w14:textId="77777777" w:rsidR="00B73D88" w:rsidRDefault="00B73D88" w:rsidP="00142FE5">
      <w:pPr>
        <w:spacing w:after="0" w:line="240" w:lineRule="auto"/>
      </w:pPr>
      <w:r>
        <w:separator/>
      </w:r>
    </w:p>
  </w:endnote>
  <w:endnote w:type="continuationSeparator" w:id="0">
    <w:p w14:paraId="01726242" w14:textId="77777777" w:rsidR="00B73D88" w:rsidRDefault="00B73D88" w:rsidP="00142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1022247228"/>
      <w:docPartObj>
        <w:docPartGallery w:val="Page Numbers (Bottom of Page)"/>
        <w:docPartUnique/>
      </w:docPartObj>
    </w:sdtPr>
    <w:sdtContent>
      <w:p w14:paraId="14E46789" w14:textId="77777777" w:rsidR="002A642F" w:rsidRPr="002A642F" w:rsidRDefault="002A642F" w:rsidP="00A376DD">
        <w:pPr>
          <w:pStyle w:val="Footer"/>
          <w:framePr w:wrap="none" w:vAnchor="text" w:hAnchor="page" w:x="637" w:y="-457"/>
          <w:rPr>
            <w:rStyle w:val="PageNumber"/>
            <w:sz w:val="20"/>
            <w:szCs w:val="20"/>
          </w:rPr>
        </w:pPr>
        <w:r w:rsidRPr="00A376DD">
          <w:rPr>
            <w:rStyle w:val="PageNumber"/>
            <w:color w:val="BFBFBF" w:themeColor="background1" w:themeShade="BF"/>
            <w:sz w:val="16"/>
            <w:szCs w:val="16"/>
          </w:rPr>
          <w:fldChar w:fldCharType="begin"/>
        </w:r>
        <w:r w:rsidRPr="00A376DD">
          <w:rPr>
            <w:rStyle w:val="PageNumber"/>
            <w:color w:val="BFBFBF" w:themeColor="background1" w:themeShade="BF"/>
            <w:sz w:val="16"/>
            <w:szCs w:val="16"/>
          </w:rPr>
          <w:instrText xml:space="preserve"> PAGE </w:instrText>
        </w:r>
        <w:r w:rsidRPr="00A376DD">
          <w:rPr>
            <w:rStyle w:val="PageNumber"/>
            <w:color w:val="BFBFBF" w:themeColor="background1" w:themeShade="BF"/>
            <w:sz w:val="16"/>
            <w:szCs w:val="16"/>
          </w:rPr>
          <w:fldChar w:fldCharType="separate"/>
        </w:r>
        <w:r w:rsidRPr="00A376DD">
          <w:rPr>
            <w:rStyle w:val="PageNumber"/>
            <w:noProof/>
            <w:color w:val="BFBFBF" w:themeColor="background1" w:themeShade="BF"/>
            <w:sz w:val="16"/>
            <w:szCs w:val="16"/>
          </w:rPr>
          <w:t>2</w:t>
        </w:r>
        <w:r w:rsidRPr="00A376DD">
          <w:rPr>
            <w:rStyle w:val="PageNumber"/>
            <w:color w:val="BFBFBF" w:themeColor="background1" w:themeShade="BF"/>
            <w:sz w:val="16"/>
            <w:szCs w:val="16"/>
          </w:rPr>
          <w:fldChar w:fldCharType="end"/>
        </w:r>
      </w:p>
    </w:sdtContent>
  </w:sdt>
  <w:p w14:paraId="1964A905" w14:textId="77777777" w:rsidR="002A642F" w:rsidRDefault="002A642F" w:rsidP="0086536E">
    <w:pPr>
      <w:pStyle w:val="Footer"/>
      <w:tabs>
        <w:tab w:val="clear" w:pos="9360"/>
      </w:tabs>
      <w:ind w:left="-1440" w:right="-1440" w:firstLine="360"/>
    </w:pPr>
    <w:r>
      <w:rPr>
        <w:noProof/>
      </w:rPr>
      <w:drawing>
        <wp:anchor distT="0" distB="0" distL="114300" distR="114300" simplePos="0" relativeHeight="251669504" behindDoc="1" locked="0" layoutInCell="1" allowOverlap="1" wp14:anchorId="37118833" wp14:editId="00026B08">
          <wp:simplePos x="0" y="0"/>
          <wp:positionH relativeFrom="column">
            <wp:posOffset>-187565</wp:posOffset>
          </wp:positionH>
          <wp:positionV relativeFrom="paragraph">
            <wp:posOffset>-660351</wp:posOffset>
          </wp:positionV>
          <wp:extent cx="6755231" cy="838885"/>
          <wp:effectExtent l="0" t="0" r="0" b="0"/>
          <wp:wrapNone/>
          <wp:docPr id="3120462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46256" name="Picture 5"/>
                  <pic:cNvPicPr/>
                </pic:nvPicPr>
                <pic:blipFill>
                  <a:blip r:embed="rId1">
                    <a:extLst>
                      <a:ext uri="{96DAC541-7B7A-43D3-8B79-37D633B846F1}">
                        <asvg:svgBlip xmlns:asvg="http://schemas.microsoft.com/office/drawing/2016/SVG/main" r:embed="rId2"/>
                      </a:ext>
                    </a:extLst>
                  </a:blip>
                  <a:stretch>
                    <a:fillRect/>
                  </a:stretch>
                </pic:blipFill>
                <pic:spPr>
                  <a:xfrm>
                    <a:off x="0" y="0"/>
                    <a:ext cx="6755231" cy="83888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81C9" w14:textId="77777777" w:rsidR="000346EF" w:rsidRDefault="000346EF" w:rsidP="00695165">
    <w:pPr>
      <w:pStyle w:val="Footer"/>
      <w:ind w:right="360" w:firstLine="360"/>
    </w:pPr>
    <w:r>
      <w:rPr>
        <w:noProof/>
      </w:rPr>
      <w:drawing>
        <wp:anchor distT="0" distB="0" distL="114300" distR="114300" simplePos="0" relativeHeight="251667456" behindDoc="1" locked="0" layoutInCell="1" allowOverlap="1" wp14:anchorId="72510258" wp14:editId="28D3DFD5">
          <wp:simplePos x="0" y="0"/>
          <wp:positionH relativeFrom="column">
            <wp:posOffset>-186267</wp:posOffset>
          </wp:positionH>
          <wp:positionV relativeFrom="paragraph">
            <wp:posOffset>-662305</wp:posOffset>
          </wp:positionV>
          <wp:extent cx="6755239" cy="838886"/>
          <wp:effectExtent l="0" t="0" r="0" b="0"/>
          <wp:wrapNone/>
          <wp:docPr id="8861172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46154" name="Picture 5"/>
                  <pic:cNvPicPr/>
                </pic:nvPicPr>
                <pic:blipFill>
                  <a:blip r:embed="rId1">
                    <a:extLst>
                      <a:ext uri="{96DAC541-7B7A-43D3-8B79-37D633B846F1}">
                        <asvg:svgBlip xmlns:asvg="http://schemas.microsoft.com/office/drawing/2016/SVG/main" r:embed="rId2"/>
                      </a:ext>
                    </a:extLst>
                  </a:blip>
                  <a:stretch>
                    <a:fillRect/>
                  </a:stretch>
                </pic:blipFill>
                <pic:spPr>
                  <a:xfrm>
                    <a:off x="0" y="0"/>
                    <a:ext cx="6755239" cy="83888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FE11A" w14:textId="77777777" w:rsidR="00B73D88" w:rsidRDefault="00B73D88" w:rsidP="00142FE5">
      <w:pPr>
        <w:spacing w:after="0" w:line="240" w:lineRule="auto"/>
      </w:pPr>
      <w:r>
        <w:separator/>
      </w:r>
    </w:p>
  </w:footnote>
  <w:footnote w:type="continuationSeparator" w:id="0">
    <w:p w14:paraId="6FB9A6C3" w14:textId="77777777" w:rsidR="00B73D88" w:rsidRDefault="00B73D88" w:rsidP="00142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5E54B" w14:textId="77777777" w:rsidR="00C000F3" w:rsidRDefault="00C000F3" w:rsidP="0086536E">
    <w:pPr>
      <w:pStyle w:val="Header"/>
      <w:ind w:lef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1109"/>
    <w:multiLevelType w:val="multilevel"/>
    <w:tmpl w:val="7A7C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184150"/>
    <w:multiLevelType w:val="hybridMultilevel"/>
    <w:tmpl w:val="E0FEFC9A"/>
    <w:lvl w:ilvl="0" w:tplc="E5A44B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B136FF"/>
    <w:multiLevelType w:val="multilevel"/>
    <w:tmpl w:val="4246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B3651"/>
    <w:multiLevelType w:val="multilevel"/>
    <w:tmpl w:val="14E0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CC4ABB"/>
    <w:multiLevelType w:val="multilevel"/>
    <w:tmpl w:val="77987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9821D0"/>
    <w:multiLevelType w:val="multilevel"/>
    <w:tmpl w:val="14E0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55772E"/>
    <w:multiLevelType w:val="multilevel"/>
    <w:tmpl w:val="E1DA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B53CD3"/>
    <w:multiLevelType w:val="multilevel"/>
    <w:tmpl w:val="4CC8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2878759">
    <w:abstractNumId w:val="0"/>
  </w:num>
  <w:num w:numId="2" w16cid:durableId="960918560">
    <w:abstractNumId w:val="6"/>
  </w:num>
  <w:num w:numId="3" w16cid:durableId="1229074331">
    <w:abstractNumId w:val="4"/>
  </w:num>
  <w:num w:numId="4" w16cid:durableId="1612279441">
    <w:abstractNumId w:val="2"/>
  </w:num>
  <w:num w:numId="5" w16cid:durableId="856383346">
    <w:abstractNumId w:val="3"/>
  </w:num>
  <w:num w:numId="6" w16cid:durableId="745341003">
    <w:abstractNumId w:val="7"/>
  </w:num>
  <w:num w:numId="7" w16cid:durableId="1458065529">
    <w:abstractNumId w:val="1"/>
  </w:num>
  <w:num w:numId="8" w16cid:durableId="12116473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15B"/>
    <w:rsid w:val="00022BE3"/>
    <w:rsid w:val="000346EF"/>
    <w:rsid w:val="000537EB"/>
    <w:rsid w:val="000544F3"/>
    <w:rsid w:val="00066DAE"/>
    <w:rsid w:val="00124192"/>
    <w:rsid w:val="0013060B"/>
    <w:rsid w:val="00142FE5"/>
    <w:rsid w:val="00160764"/>
    <w:rsid w:val="001B015B"/>
    <w:rsid w:val="001C0B99"/>
    <w:rsid w:val="002321FF"/>
    <w:rsid w:val="002364F8"/>
    <w:rsid w:val="00241DA1"/>
    <w:rsid w:val="00242F59"/>
    <w:rsid w:val="002A642F"/>
    <w:rsid w:val="002C4A08"/>
    <w:rsid w:val="002D4F3C"/>
    <w:rsid w:val="003A6BAA"/>
    <w:rsid w:val="003D1B71"/>
    <w:rsid w:val="00413868"/>
    <w:rsid w:val="00414809"/>
    <w:rsid w:val="00456482"/>
    <w:rsid w:val="004727D0"/>
    <w:rsid w:val="004C1FA8"/>
    <w:rsid w:val="0050100F"/>
    <w:rsid w:val="00506B58"/>
    <w:rsid w:val="005D14B3"/>
    <w:rsid w:val="006111BC"/>
    <w:rsid w:val="00616D2D"/>
    <w:rsid w:val="00622879"/>
    <w:rsid w:val="006300DD"/>
    <w:rsid w:val="00695165"/>
    <w:rsid w:val="006E0D70"/>
    <w:rsid w:val="006E602F"/>
    <w:rsid w:val="007067A4"/>
    <w:rsid w:val="00743791"/>
    <w:rsid w:val="00800E8E"/>
    <w:rsid w:val="008076AE"/>
    <w:rsid w:val="00827FEC"/>
    <w:rsid w:val="00832DDB"/>
    <w:rsid w:val="0086536E"/>
    <w:rsid w:val="00884DA2"/>
    <w:rsid w:val="008E6C92"/>
    <w:rsid w:val="008E7E6B"/>
    <w:rsid w:val="00924E10"/>
    <w:rsid w:val="0093589E"/>
    <w:rsid w:val="00952FFF"/>
    <w:rsid w:val="009C4CB6"/>
    <w:rsid w:val="00A14BC7"/>
    <w:rsid w:val="00A376DD"/>
    <w:rsid w:val="00AA5FC0"/>
    <w:rsid w:val="00AC3F2E"/>
    <w:rsid w:val="00B73D88"/>
    <w:rsid w:val="00B9036D"/>
    <w:rsid w:val="00BB6EC0"/>
    <w:rsid w:val="00BF7B7D"/>
    <w:rsid w:val="00C000F3"/>
    <w:rsid w:val="00C06EB4"/>
    <w:rsid w:val="00C2617D"/>
    <w:rsid w:val="00C51F87"/>
    <w:rsid w:val="00C7593E"/>
    <w:rsid w:val="00CC7CFE"/>
    <w:rsid w:val="00CD5E62"/>
    <w:rsid w:val="00D1363C"/>
    <w:rsid w:val="00D2407B"/>
    <w:rsid w:val="00DD65C5"/>
    <w:rsid w:val="00E23DAD"/>
    <w:rsid w:val="00E475E0"/>
    <w:rsid w:val="00EB7EF7"/>
    <w:rsid w:val="00F17B15"/>
    <w:rsid w:val="00F51C7D"/>
    <w:rsid w:val="00F625B0"/>
    <w:rsid w:val="00F63A55"/>
    <w:rsid w:val="00F66CD2"/>
    <w:rsid w:val="00F70B1F"/>
    <w:rsid w:val="00F806DE"/>
    <w:rsid w:val="00F856A4"/>
    <w:rsid w:val="00FA2392"/>
    <w:rsid w:val="00FB3CF0"/>
    <w:rsid w:val="00FE2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F0B091"/>
  <w14:defaultImageDpi w14:val="32767"/>
  <w15:chartTrackingRefBased/>
  <w15:docId w15:val="{C7252256-67CC-4575-AAD2-95C87DC1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FE5"/>
  </w:style>
  <w:style w:type="paragraph" w:styleId="Heading1">
    <w:name w:val="heading 1"/>
    <w:basedOn w:val="Normal"/>
    <w:next w:val="Normal"/>
    <w:link w:val="Heading1Char"/>
    <w:uiPriority w:val="9"/>
    <w:qFormat/>
    <w:rsid w:val="00142F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2F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2F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2F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2F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2F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2F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2F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2F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F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2F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2F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2F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2F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2F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F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F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FE5"/>
    <w:rPr>
      <w:rFonts w:eastAsiaTheme="majorEastAsia" w:cstheme="majorBidi"/>
      <w:color w:val="272727" w:themeColor="text1" w:themeTint="D8"/>
    </w:rPr>
  </w:style>
  <w:style w:type="paragraph" w:styleId="Title">
    <w:name w:val="Title"/>
    <w:basedOn w:val="Normal"/>
    <w:next w:val="Normal"/>
    <w:link w:val="TitleChar"/>
    <w:uiPriority w:val="10"/>
    <w:qFormat/>
    <w:rsid w:val="00142F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2F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F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2F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FE5"/>
    <w:pPr>
      <w:spacing w:before="160"/>
      <w:jc w:val="center"/>
    </w:pPr>
    <w:rPr>
      <w:i/>
      <w:iCs/>
      <w:color w:val="404040" w:themeColor="text1" w:themeTint="BF"/>
    </w:rPr>
  </w:style>
  <w:style w:type="character" w:customStyle="1" w:styleId="QuoteChar">
    <w:name w:val="Quote Char"/>
    <w:basedOn w:val="DefaultParagraphFont"/>
    <w:link w:val="Quote"/>
    <w:uiPriority w:val="29"/>
    <w:rsid w:val="00142FE5"/>
    <w:rPr>
      <w:i/>
      <w:iCs/>
      <w:color w:val="404040" w:themeColor="text1" w:themeTint="BF"/>
    </w:rPr>
  </w:style>
  <w:style w:type="paragraph" w:styleId="ListParagraph">
    <w:name w:val="List Paragraph"/>
    <w:basedOn w:val="Normal"/>
    <w:uiPriority w:val="34"/>
    <w:qFormat/>
    <w:rsid w:val="00142FE5"/>
    <w:pPr>
      <w:ind w:left="720"/>
      <w:contextualSpacing/>
    </w:pPr>
  </w:style>
  <w:style w:type="character" w:styleId="IntenseEmphasis">
    <w:name w:val="Intense Emphasis"/>
    <w:basedOn w:val="DefaultParagraphFont"/>
    <w:uiPriority w:val="21"/>
    <w:qFormat/>
    <w:rsid w:val="00142FE5"/>
    <w:rPr>
      <w:i/>
      <w:iCs/>
      <w:color w:val="0F4761" w:themeColor="accent1" w:themeShade="BF"/>
    </w:rPr>
  </w:style>
  <w:style w:type="paragraph" w:styleId="IntenseQuote">
    <w:name w:val="Intense Quote"/>
    <w:basedOn w:val="Normal"/>
    <w:next w:val="Normal"/>
    <w:link w:val="IntenseQuoteChar"/>
    <w:uiPriority w:val="30"/>
    <w:qFormat/>
    <w:rsid w:val="00142F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2FE5"/>
    <w:rPr>
      <w:i/>
      <w:iCs/>
      <w:color w:val="0F4761" w:themeColor="accent1" w:themeShade="BF"/>
    </w:rPr>
  </w:style>
  <w:style w:type="character" w:styleId="IntenseReference">
    <w:name w:val="Intense Reference"/>
    <w:basedOn w:val="DefaultParagraphFont"/>
    <w:uiPriority w:val="32"/>
    <w:qFormat/>
    <w:rsid w:val="00142FE5"/>
    <w:rPr>
      <w:b/>
      <w:bCs/>
      <w:smallCaps/>
      <w:color w:val="0F4761" w:themeColor="accent1" w:themeShade="BF"/>
      <w:spacing w:val="5"/>
    </w:rPr>
  </w:style>
  <w:style w:type="paragraph" w:styleId="Header">
    <w:name w:val="header"/>
    <w:basedOn w:val="Normal"/>
    <w:link w:val="HeaderChar"/>
    <w:uiPriority w:val="99"/>
    <w:unhideWhenUsed/>
    <w:rsid w:val="00142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FE5"/>
  </w:style>
  <w:style w:type="paragraph" w:styleId="Footer">
    <w:name w:val="footer"/>
    <w:basedOn w:val="Normal"/>
    <w:link w:val="FooterChar"/>
    <w:uiPriority w:val="99"/>
    <w:unhideWhenUsed/>
    <w:rsid w:val="00142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FE5"/>
  </w:style>
  <w:style w:type="character" w:styleId="PageNumber">
    <w:name w:val="page number"/>
    <w:basedOn w:val="DefaultParagraphFont"/>
    <w:uiPriority w:val="99"/>
    <w:semiHidden/>
    <w:unhideWhenUsed/>
    <w:rsid w:val="0086536E"/>
  </w:style>
  <w:style w:type="character" w:styleId="CommentReference">
    <w:name w:val="annotation reference"/>
    <w:basedOn w:val="DefaultParagraphFont"/>
    <w:uiPriority w:val="99"/>
    <w:semiHidden/>
    <w:unhideWhenUsed/>
    <w:rsid w:val="003D1B71"/>
    <w:rPr>
      <w:sz w:val="16"/>
      <w:szCs w:val="16"/>
    </w:rPr>
  </w:style>
  <w:style w:type="paragraph" w:styleId="CommentText">
    <w:name w:val="annotation text"/>
    <w:basedOn w:val="Normal"/>
    <w:link w:val="CommentTextChar"/>
    <w:uiPriority w:val="99"/>
    <w:unhideWhenUsed/>
    <w:rsid w:val="003D1B71"/>
    <w:pPr>
      <w:spacing w:line="240" w:lineRule="auto"/>
    </w:pPr>
    <w:rPr>
      <w:sz w:val="20"/>
      <w:szCs w:val="20"/>
    </w:rPr>
  </w:style>
  <w:style w:type="character" w:customStyle="1" w:styleId="CommentTextChar">
    <w:name w:val="Comment Text Char"/>
    <w:basedOn w:val="DefaultParagraphFont"/>
    <w:link w:val="CommentText"/>
    <w:uiPriority w:val="99"/>
    <w:rsid w:val="003D1B71"/>
    <w:rPr>
      <w:sz w:val="20"/>
      <w:szCs w:val="20"/>
    </w:rPr>
  </w:style>
  <w:style w:type="paragraph" w:styleId="CommentSubject">
    <w:name w:val="annotation subject"/>
    <w:basedOn w:val="CommentText"/>
    <w:next w:val="CommentText"/>
    <w:link w:val="CommentSubjectChar"/>
    <w:uiPriority w:val="99"/>
    <w:semiHidden/>
    <w:unhideWhenUsed/>
    <w:rsid w:val="003D1B71"/>
    <w:rPr>
      <w:b/>
      <w:bCs/>
    </w:rPr>
  </w:style>
  <w:style w:type="character" w:customStyle="1" w:styleId="CommentSubjectChar">
    <w:name w:val="Comment Subject Char"/>
    <w:basedOn w:val="CommentTextChar"/>
    <w:link w:val="CommentSubject"/>
    <w:uiPriority w:val="99"/>
    <w:semiHidden/>
    <w:rsid w:val="003D1B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efever\AppData\Local\Microsoft\Olk\Attachments\ooa-045e5641-e31d-419b-8870-50e88f398eb0\aa7024a420792c87d366e37031fb865f7dcdcb499ac6082fe11de9c054f64de2\AWI-IFMA-Knowledge%20Library-E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af60d6-c990-4cff-a2b3-b7e6e4706ed0" xsi:nil="true"/>
    <lcf76f155ced4ddcb4097134ff3c332f xmlns="efeb6fe7-7fef-45e8-bfe1-5e163bc4849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8940CCE25BDA429ADFBA9BA0AB0546" ma:contentTypeVersion="18" ma:contentTypeDescription="Create a new document." ma:contentTypeScope="" ma:versionID="4c551ea9c555825e1e9f90befbd5205f">
  <xsd:schema xmlns:xsd="http://www.w3.org/2001/XMLSchema" xmlns:xs="http://www.w3.org/2001/XMLSchema" xmlns:p="http://schemas.microsoft.com/office/2006/metadata/properties" xmlns:ns2="efeb6fe7-7fef-45e8-bfe1-5e163bc4849c" xmlns:ns3="82af60d6-c990-4cff-a2b3-b7e6e4706ed0" targetNamespace="http://schemas.microsoft.com/office/2006/metadata/properties" ma:root="true" ma:fieldsID="56ce576078c7fecaf23a9ef248c8d2de" ns2:_="" ns3:_="">
    <xsd:import namespace="efeb6fe7-7fef-45e8-bfe1-5e163bc4849c"/>
    <xsd:import namespace="82af60d6-c990-4cff-a2b3-b7e6e4706e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eb6fe7-7fef-45e8-bfe1-5e163bc48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3637b3e-5733-4483-9c0c-992d2a300160"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af60d6-c990-4cff-a2b3-b7e6e4706ed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ba5e49-4db0-4147-9ff1-fe152f4d2bfb}" ma:internalName="TaxCatchAll" ma:showField="CatchAllData" ma:web="82af60d6-c990-4cff-a2b3-b7e6e4706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C5FD57-DFD3-4568-871E-C0DF7FEB1F0D}">
  <ds:schemaRefs>
    <ds:schemaRef ds:uri="http://schemas.microsoft.com/office/2006/metadata/properties"/>
    <ds:schemaRef ds:uri="http://schemas.microsoft.com/office/infopath/2007/PartnerControls"/>
    <ds:schemaRef ds:uri="82af60d6-c990-4cff-a2b3-b7e6e4706ed0"/>
    <ds:schemaRef ds:uri="efeb6fe7-7fef-45e8-bfe1-5e163bc4849c"/>
  </ds:schemaRefs>
</ds:datastoreItem>
</file>

<file path=customXml/itemProps2.xml><?xml version="1.0" encoding="utf-8"?>
<ds:datastoreItem xmlns:ds="http://schemas.openxmlformats.org/officeDocument/2006/customXml" ds:itemID="{C1DF32DC-A8A4-43DC-B245-89EC93225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eb6fe7-7fef-45e8-bfe1-5e163bc4849c"/>
    <ds:schemaRef ds:uri="82af60d6-c990-4cff-a2b3-b7e6e4706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A2F6B5-720E-49C3-ACB4-48445C7D36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AWI-IFMA-Knowledge Library-ESC</Template>
  <TotalTime>5</TotalTime>
  <Pages>2</Pages>
  <Words>949</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Lefever</dc:creator>
  <cp:keywords/>
  <dc:description/>
  <cp:lastModifiedBy>Stephanie Lefever</cp:lastModifiedBy>
  <cp:revision>7</cp:revision>
  <dcterms:created xsi:type="dcterms:W3CDTF">2026-07-22T16:53:00Z</dcterms:created>
  <dcterms:modified xsi:type="dcterms:W3CDTF">2026-07-22T16:59:00Z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3c70bd-a540-4766-8684-7ff6e174893c_Enabled">
    <vt:lpwstr>true</vt:lpwstr>
  </property>
  <property fmtid="{D5CDD505-2E9C-101B-9397-08002B2CF9AE}" pid="3" name="MSIP_Label_bb3c70bd-a540-4766-8684-7ff6e174893c_SetDate">
    <vt:lpwstr>2026-05-12T19:15:54Z</vt:lpwstr>
  </property>
  <property fmtid="{D5CDD505-2E9C-101B-9397-08002B2CF9AE}" pid="4" name="MSIP_Label_bb3c70bd-a540-4766-8684-7ff6e174893c_Method">
    <vt:lpwstr>Standard</vt:lpwstr>
  </property>
  <property fmtid="{D5CDD505-2E9C-101B-9397-08002B2CF9AE}" pid="5" name="MSIP_Label_bb3c70bd-a540-4766-8684-7ff6e174893c_Name">
    <vt:lpwstr>bb3c70bd-a540-4766-8684-7ff6e174893c</vt:lpwstr>
  </property>
  <property fmtid="{D5CDD505-2E9C-101B-9397-08002B2CF9AE}" pid="6" name="MSIP_Label_bb3c70bd-a540-4766-8684-7ff6e174893c_SiteId">
    <vt:lpwstr>5b00abe1-105d-47d0-ab18-b84d5ea65f29</vt:lpwstr>
  </property>
  <property fmtid="{D5CDD505-2E9C-101B-9397-08002B2CF9AE}" pid="7" name="MSIP_Label_bb3c70bd-a540-4766-8684-7ff6e174893c_ActionId">
    <vt:lpwstr>bafd5d65-c1dd-4ee9-9a53-6633a2d0d8b4</vt:lpwstr>
  </property>
  <property fmtid="{D5CDD505-2E9C-101B-9397-08002B2CF9AE}" pid="8" name="MSIP_Label_bb3c70bd-a540-4766-8684-7ff6e174893c_ContentBits">
    <vt:lpwstr>0</vt:lpwstr>
  </property>
  <property fmtid="{D5CDD505-2E9C-101B-9397-08002B2CF9AE}" pid="9" name="MSIP_Label_bb3c70bd-a540-4766-8684-7ff6e174893c_Tag">
    <vt:lpwstr>50, 3, 0, 1</vt:lpwstr>
  </property>
  <property fmtid="{D5CDD505-2E9C-101B-9397-08002B2CF9AE}" pid="10" name="ContentTypeId">
    <vt:lpwstr>0x0101006C8940CCE25BDA429ADFBA9BA0AB0546</vt:lpwstr>
  </property>
</Properties>
</file>