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E8863" w14:textId="7DB47892" w:rsidR="00B76019" w:rsidRDefault="00B76019">
      <w:pPr>
        <w:rPr>
          <w:rFonts w:ascii="Arial" w:hAnsi="Arial" w:cs="Arial"/>
          <w:color w:val="000000"/>
          <w:spacing w:val="-11"/>
          <w:sz w:val="40"/>
          <w:szCs w:val="40"/>
          <w:shd w:val="clear" w:color="auto" w:fill="FFFFFF"/>
        </w:rPr>
      </w:pPr>
      <w:r>
        <w:rPr>
          <w:rFonts w:ascii="Arial" w:hAnsi="Arial" w:cs="Arial"/>
          <w:noProof/>
          <w:color w:val="000000"/>
          <w:spacing w:val="-11"/>
          <w:sz w:val="40"/>
          <w:szCs w:val="40"/>
          <w:shd w:val="clear" w:color="auto" w:fill="FFFFFF"/>
        </w:rPr>
        <w:drawing>
          <wp:inline distT="0" distB="0" distL="0" distR="0" wp14:anchorId="0F82763F" wp14:editId="5E3566E1">
            <wp:extent cx="1152939" cy="1449804"/>
            <wp:effectExtent l="0" t="0" r="9525" b="0"/>
            <wp:docPr id="625377955" name="Picture 1" descr="A red circle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77955" name="Picture 1" descr="A red circle with black lin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60149" cy="1458870"/>
                    </a:xfrm>
                    <a:prstGeom prst="rect">
                      <a:avLst/>
                    </a:prstGeom>
                  </pic:spPr>
                </pic:pic>
              </a:graphicData>
            </a:graphic>
          </wp:inline>
        </w:drawing>
      </w:r>
    </w:p>
    <w:p w14:paraId="105FA74D" w14:textId="48293E79" w:rsidR="00131AA7" w:rsidRDefault="00B76019">
      <w:pPr>
        <w:rPr>
          <w:rFonts w:ascii="Arial" w:hAnsi="Arial" w:cs="Arial"/>
          <w:color w:val="000000"/>
          <w:spacing w:val="-11"/>
          <w:sz w:val="40"/>
          <w:szCs w:val="40"/>
          <w:shd w:val="clear" w:color="auto" w:fill="FFFFFF"/>
        </w:rPr>
      </w:pPr>
      <w:r>
        <w:rPr>
          <w:rFonts w:ascii="Arial" w:hAnsi="Arial" w:cs="Arial"/>
          <w:color w:val="000000"/>
          <w:spacing w:val="-11"/>
          <w:sz w:val="40"/>
          <w:szCs w:val="40"/>
          <w:shd w:val="clear" w:color="auto" w:fill="FFFFFF"/>
        </w:rPr>
        <w:t>The Impact of Policies, Regulations, and Incentives on Decarbonization</w:t>
      </w:r>
    </w:p>
    <w:p w14:paraId="105FA74E" w14:textId="77777777" w:rsidR="00131AA7" w:rsidRDefault="00B76019">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t xml:space="preserve">Energy plans establish a clear roadmap for prioritizing actions and ensure that limited resources, like time and budgets, are deployed efficiently. The most </w:t>
      </w:r>
      <w:r>
        <w:rPr>
          <w:rFonts w:ascii="Arial" w:eastAsia="Times New Roman" w:hAnsi="Arial" w:cs="Arial"/>
          <w:color w:val="000000"/>
          <w:kern w:val="0"/>
        </w:rPr>
        <w:t>effective and forward-thinking plans also consider the external impacts of policies and regulations. Each of these factors significantly influence the decision-making process and shape outcomes, ultimately determining the success and affordability of sustainability initiatives. By leaning into local decarbonization policies and regulations, and leveraging related incentives, organizations can align their energy plans to meet environmental, economic and equity goals simultaneously.</w:t>
      </w:r>
    </w:p>
    <w:p w14:paraId="105FA74F" w14:textId="77777777" w:rsidR="00131AA7" w:rsidRDefault="00B76019">
      <w:pPr>
        <w:shd w:val="clear" w:color="auto" w:fill="FFFFFF"/>
        <w:spacing w:before="100" w:after="100" w:line="240" w:lineRule="auto"/>
        <w:outlineLvl w:val="2"/>
        <w:rPr>
          <w:rFonts w:ascii="Arial" w:eastAsia="Times New Roman" w:hAnsi="Arial" w:cs="Arial"/>
          <w:color w:val="000000"/>
          <w:kern w:val="0"/>
          <w:sz w:val="27"/>
          <w:szCs w:val="27"/>
        </w:rPr>
      </w:pPr>
      <w:r>
        <w:rPr>
          <w:rFonts w:ascii="Arial" w:eastAsia="Times New Roman" w:hAnsi="Arial" w:cs="Arial"/>
          <w:color w:val="000000"/>
          <w:kern w:val="0"/>
          <w:sz w:val="27"/>
          <w:szCs w:val="27"/>
        </w:rPr>
        <w:t>Understanding Policies &amp; Regulations</w:t>
      </w:r>
    </w:p>
    <w:p w14:paraId="105FA750" w14:textId="77777777" w:rsidR="00131AA7" w:rsidRDefault="00B76019">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t>While each business owner may have unique decarbonization strategies and energy plans, the influence of government policies and regulations is crucial in shaping them. It is important to understand the distinction between policies and regulations and how they can impact your organization.</w:t>
      </w:r>
    </w:p>
    <w:p w14:paraId="105FA751" w14:textId="77777777" w:rsidR="00131AA7" w:rsidRDefault="00B76019">
      <w:pPr>
        <w:shd w:val="clear" w:color="auto" w:fill="FFFFFF"/>
        <w:spacing w:before="240" w:after="240" w:line="240" w:lineRule="auto"/>
        <w:ind w:left="600"/>
      </w:pPr>
      <w:r>
        <w:rPr>
          <w:rFonts w:ascii="Arial" w:eastAsia="Times New Roman" w:hAnsi="Arial" w:cs="Arial"/>
          <w:i/>
          <w:iCs/>
          <w:color w:val="000000"/>
          <w:kern w:val="0"/>
        </w:rPr>
        <w:t>Policies </w:t>
      </w:r>
      <w:r>
        <w:rPr>
          <w:rFonts w:ascii="Arial" w:eastAsia="Times New Roman" w:hAnsi="Arial" w:cs="Arial"/>
          <w:color w:val="000000"/>
          <w:kern w:val="0"/>
        </w:rPr>
        <w:t>provide clear guidance and promote behaviors and actions that commit to more sustainable futures. Although policies are not mandatory, they are often set forth by governments and leading institutions to encourage organizations to follow them by providing financial incentives.</w:t>
      </w:r>
    </w:p>
    <w:p w14:paraId="105FA752" w14:textId="77777777" w:rsidR="00131AA7" w:rsidRDefault="00B76019">
      <w:pPr>
        <w:shd w:val="clear" w:color="auto" w:fill="FFFFFF"/>
        <w:spacing w:before="240" w:after="240" w:line="240" w:lineRule="auto"/>
        <w:ind w:left="600"/>
      </w:pPr>
      <w:r>
        <w:rPr>
          <w:rFonts w:ascii="Arial" w:eastAsia="Times New Roman" w:hAnsi="Arial" w:cs="Arial"/>
          <w:i/>
          <w:iCs/>
          <w:color w:val="000000"/>
          <w:kern w:val="0"/>
        </w:rPr>
        <w:t>Regulations </w:t>
      </w:r>
      <w:r>
        <w:rPr>
          <w:rFonts w:ascii="Arial" w:eastAsia="Times New Roman" w:hAnsi="Arial" w:cs="Arial"/>
          <w:color w:val="000000"/>
          <w:kern w:val="0"/>
        </w:rPr>
        <w:t>are laws put in place to standardize the actions of communities and organizations. Unlike policies, regulations often require strict and immediate action to comply, or you may face penalties or fines.</w:t>
      </w:r>
    </w:p>
    <w:p w14:paraId="105FA753" w14:textId="77777777" w:rsidR="00131AA7" w:rsidRDefault="00B76019">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t>Policies inform regulations, and while both are important pieces of building a sustainable future, policies can be more innovative and adaptable. This allows organizations to develop unique energy goals, providing them more independence to set their own actions to achieve a unified purpose.</w:t>
      </w:r>
    </w:p>
    <w:p w14:paraId="105FA754" w14:textId="77777777" w:rsidR="00131AA7" w:rsidRDefault="00B76019">
      <w:pPr>
        <w:shd w:val="clear" w:color="auto" w:fill="FFFFFF"/>
        <w:spacing w:before="100" w:after="100" w:line="240" w:lineRule="auto"/>
        <w:outlineLvl w:val="2"/>
        <w:rPr>
          <w:rFonts w:ascii="Arial" w:eastAsia="Times New Roman" w:hAnsi="Arial" w:cs="Arial"/>
          <w:color w:val="000000"/>
          <w:kern w:val="0"/>
          <w:sz w:val="27"/>
          <w:szCs w:val="27"/>
        </w:rPr>
      </w:pPr>
      <w:proofErr w:type="spellStart"/>
      <w:r>
        <w:rPr>
          <w:rFonts w:ascii="Arial" w:eastAsia="Times New Roman" w:hAnsi="Arial" w:cs="Arial"/>
          <w:color w:val="000000"/>
          <w:kern w:val="0"/>
          <w:sz w:val="27"/>
          <w:szCs w:val="27"/>
        </w:rPr>
        <w:t>Indentifying</w:t>
      </w:r>
      <w:proofErr w:type="spellEnd"/>
      <w:r>
        <w:rPr>
          <w:rFonts w:ascii="Arial" w:eastAsia="Times New Roman" w:hAnsi="Arial" w:cs="Arial"/>
          <w:color w:val="000000"/>
          <w:kern w:val="0"/>
          <w:sz w:val="27"/>
          <w:szCs w:val="27"/>
        </w:rPr>
        <w:t xml:space="preserve"> the Financial Benefits</w:t>
      </w:r>
    </w:p>
    <w:p w14:paraId="105FA755" w14:textId="77777777" w:rsidR="00131AA7" w:rsidRDefault="00B76019">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lastRenderedPageBreak/>
        <w:t>Fortunately, organizations can capitalize on a variety of incentives when adopting policy guidance or complying with regulations. These incentives can help offset project or operational costs or even provide profitable returns in some cases. Incentives allow business owners to tailor an energy plan that aligns with their organization's goals and resources while receiving support through a variety of funding options and incentives. Some commonly used incentives in decarbonization efforts include:</w:t>
      </w:r>
    </w:p>
    <w:p w14:paraId="105FA756" w14:textId="77777777" w:rsidR="00131AA7" w:rsidRDefault="00B76019">
      <w:pPr>
        <w:numPr>
          <w:ilvl w:val="0"/>
          <w:numId w:val="1"/>
        </w:numPr>
        <w:shd w:val="clear" w:color="auto" w:fill="FFFFFF"/>
        <w:spacing w:before="100" w:after="100" w:line="240" w:lineRule="auto"/>
      </w:pPr>
      <w:r>
        <w:rPr>
          <w:rFonts w:ascii="Arial" w:eastAsia="Times New Roman" w:hAnsi="Arial" w:cs="Arial"/>
          <w:i/>
          <w:iCs/>
          <w:color w:val="000000"/>
          <w:kern w:val="0"/>
        </w:rPr>
        <w:t>Utility Rebates </w:t>
      </w:r>
      <w:r>
        <w:rPr>
          <w:rFonts w:ascii="Arial" w:eastAsia="Times New Roman" w:hAnsi="Arial" w:cs="Arial"/>
          <w:color w:val="000000"/>
          <w:kern w:val="0"/>
        </w:rPr>
        <w:t>- Capture the billions of dollars’ worth of utility incentives offered every year.</w:t>
      </w:r>
    </w:p>
    <w:p w14:paraId="105FA757" w14:textId="77777777" w:rsidR="00131AA7" w:rsidRDefault="00B76019">
      <w:pPr>
        <w:numPr>
          <w:ilvl w:val="0"/>
          <w:numId w:val="2"/>
        </w:numPr>
        <w:shd w:val="clear" w:color="auto" w:fill="FFFFFF"/>
        <w:spacing w:before="100" w:after="100" w:line="240" w:lineRule="auto"/>
      </w:pPr>
      <w:r>
        <w:rPr>
          <w:rFonts w:ascii="Arial" w:eastAsia="Times New Roman" w:hAnsi="Arial" w:cs="Arial"/>
          <w:i/>
          <w:iCs/>
          <w:color w:val="000000"/>
          <w:kern w:val="0"/>
        </w:rPr>
        <w:t>Tax incentives </w:t>
      </w:r>
      <w:r>
        <w:rPr>
          <w:rFonts w:ascii="Arial" w:eastAsia="Times New Roman" w:hAnsi="Arial" w:cs="Arial"/>
          <w:color w:val="000000"/>
          <w:kern w:val="0"/>
        </w:rPr>
        <w:t xml:space="preserve">– Offset tax liabilities with energy </w:t>
      </w:r>
      <w:r>
        <w:rPr>
          <w:rFonts w:ascii="Arial" w:eastAsia="Times New Roman" w:hAnsi="Arial" w:cs="Arial"/>
          <w:color w:val="000000"/>
          <w:kern w:val="0"/>
        </w:rPr>
        <w:t>project investment credits and deductions.</w:t>
      </w:r>
    </w:p>
    <w:p w14:paraId="105FA758" w14:textId="77777777" w:rsidR="00131AA7" w:rsidRDefault="00B76019">
      <w:pPr>
        <w:numPr>
          <w:ilvl w:val="0"/>
          <w:numId w:val="3"/>
        </w:numPr>
        <w:shd w:val="clear" w:color="auto" w:fill="FFFFFF"/>
        <w:spacing w:before="100" w:after="100" w:line="240" w:lineRule="auto"/>
      </w:pPr>
      <w:r>
        <w:rPr>
          <w:rFonts w:ascii="Arial" w:eastAsia="Times New Roman" w:hAnsi="Arial" w:cs="Arial"/>
          <w:i/>
          <w:iCs/>
          <w:color w:val="000000"/>
          <w:kern w:val="0"/>
        </w:rPr>
        <w:t>Revenue generation – </w:t>
      </w:r>
      <w:r>
        <w:rPr>
          <w:rFonts w:ascii="Arial" w:eastAsia="Times New Roman" w:hAnsi="Arial" w:cs="Arial"/>
          <w:color w:val="000000"/>
          <w:kern w:val="0"/>
        </w:rPr>
        <w:t>Profit from the production of renewable energy.</w:t>
      </w:r>
    </w:p>
    <w:p w14:paraId="105FA759" w14:textId="77777777" w:rsidR="00131AA7" w:rsidRDefault="00B76019">
      <w:pPr>
        <w:numPr>
          <w:ilvl w:val="0"/>
          <w:numId w:val="4"/>
        </w:numPr>
        <w:shd w:val="clear" w:color="auto" w:fill="FFFFFF"/>
        <w:spacing w:before="100" w:after="100" w:line="240" w:lineRule="auto"/>
      </w:pPr>
      <w:r>
        <w:rPr>
          <w:rFonts w:ascii="Arial" w:eastAsia="Times New Roman" w:hAnsi="Arial" w:cs="Arial"/>
          <w:i/>
          <w:iCs/>
          <w:color w:val="000000"/>
          <w:kern w:val="0"/>
        </w:rPr>
        <w:t>Grants programs</w:t>
      </w:r>
      <w:r>
        <w:rPr>
          <w:rFonts w:ascii="Arial" w:eastAsia="Times New Roman" w:hAnsi="Arial" w:cs="Arial"/>
          <w:color w:val="000000"/>
          <w:kern w:val="0"/>
        </w:rPr>
        <w:t> – Fund building modernization, electrification and clean energy projects with timely federal and state grants.</w:t>
      </w:r>
    </w:p>
    <w:p w14:paraId="105FA75A" w14:textId="77777777" w:rsidR="00131AA7" w:rsidRDefault="00B76019">
      <w:pPr>
        <w:numPr>
          <w:ilvl w:val="0"/>
          <w:numId w:val="5"/>
        </w:numPr>
        <w:shd w:val="clear" w:color="auto" w:fill="FFFFFF"/>
        <w:spacing w:before="100" w:after="100" w:line="240" w:lineRule="auto"/>
      </w:pPr>
      <w:r>
        <w:rPr>
          <w:rFonts w:ascii="Arial" w:eastAsia="Times New Roman" w:hAnsi="Arial" w:cs="Arial"/>
          <w:i/>
          <w:iCs/>
          <w:color w:val="000000"/>
          <w:kern w:val="0"/>
        </w:rPr>
        <w:t>Project Savings</w:t>
      </w:r>
      <w:r>
        <w:rPr>
          <w:rFonts w:ascii="Arial" w:eastAsia="Times New Roman" w:hAnsi="Arial" w:cs="Arial"/>
          <w:color w:val="000000"/>
          <w:kern w:val="0"/>
        </w:rPr>
        <w:t> – Recover operational costs through improved efficiency and demand optimization.  </w:t>
      </w:r>
    </w:p>
    <w:p w14:paraId="105FA75B" w14:textId="77777777" w:rsidR="00131AA7" w:rsidRDefault="00B76019">
      <w:pPr>
        <w:numPr>
          <w:ilvl w:val="0"/>
          <w:numId w:val="6"/>
        </w:numPr>
        <w:shd w:val="clear" w:color="auto" w:fill="FFFFFF"/>
        <w:spacing w:before="100" w:after="100" w:line="240" w:lineRule="auto"/>
      </w:pPr>
      <w:r>
        <w:rPr>
          <w:rFonts w:ascii="Arial" w:eastAsia="Times New Roman" w:hAnsi="Arial" w:cs="Arial"/>
          <w:i/>
          <w:iCs/>
          <w:color w:val="000000"/>
          <w:kern w:val="0"/>
        </w:rPr>
        <w:t>Loans and other programs</w:t>
      </w:r>
      <w:r>
        <w:rPr>
          <w:rFonts w:ascii="Arial" w:eastAsia="Times New Roman" w:hAnsi="Arial" w:cs="Arial"/>
          <w:color w:val="000000"/>
          <w:kern w:val="0"/>
        </w:rPr>
        <w:t> – Leverage advantageous and often low-interest loan programs to update and modernize.</w:t>
      </w:r>
    </w:p>
    <w:p w14:paraId="105FA75C" w14:textId="77777777" w:rsidR="00131AA7" w:rsidRDefault="00B76019">
      <w:pPr>
        <w:shd w:val="clear" w:color="auto" w:fill="FFFFFF"/>
        <w:spacing w:before="100" w:after="100" w:line="240" w:lineRule="auto"/>
        <w:outlineLvl w:val="2"/>
        <w:rPr>
          <w:rFonts w:ascii="Arial" w:eastAsia="Times New Roman" w:hAnsi="Arial" w:cs="Arial"/>
          <w:color w:val="000000"/>
          <w:kern w:val="0"/>
          <w:sz w:val="27"/>
          <w:szCs w:val="27"/>
        </w:rPr>
      </w:pPr>
      <w:r>
        <w:rPr>
          <w:rFonts w:ascii="Arial" w:eastAsia="Times New Roman" w:hAnsi="Arial" w:cs="Arial"/>
          <w:color w:val="000000"/>
          <w:kern w:val="0"/>
          <w:sz w:val="27"/>
          <w:szCs w:val="27"/>
        </w:rPr>
        <w:t>Making an Impact</w:t>
      </w:r>
    </w:p>
    <w:p w14:paraId="105FA75D" w14:textId="77777777" w:rsidR="00131AA7" w:rsidRDefault="00B76019">
      <w:pPr>
        <w:shd w:val="clear" w:color="auto" w:fill="FFFFFF"/>
        <w:spacing w:before="240" w:after="240" w:line="240" w:lineRule="auto"/>
      </w:pPr>
      <w:r>
        <w:rPr>
          <w:rFonts w:ascii="Arial" w:eastAsia="Times New Roman" w:hAnsi="Arial" w:cs="Arial"/>
          <w:color w:val="000000"/>
          <w:kern w:val="0"/>
        </w:rPr>
        <w:t>Global policies set the stage for a sustainable world, providing guidance for countries and states to develop more specialized policies and regulations for local communities. One of the most notable global policies is the </w:t>
      </w:r>
      <w:r>
        <w:rPr>
          <w:rFonts w:ascii="Arial" w:eastAsia="Times New Roman" w:hAnsi="Arial" w:cs="Arial"/>
          <w:i/>
          <w:iCs/>
          <w:color w:val="000000"/>
          <w:kern w:val="0"/>
        </w:rPr>
        <w:t>Paris Agreement</w:t>
      </w:r>
      <w:r>
        <w:rPr>
          <w:rFonts w:ascii="Arial" w:eastAsia="Times New Roman" w:hAnsi="Arial" w:cs="Arial"/>
          <w:i/>
          <w:iCs/>
          <w:color w:val="000000"/>
          <w:kern w:val="0"/>
          <w:sz w:val="17"/>
          <w:szCs w:val="17"/>
          <w:vertAlign w:val="superscript"/>
        </w:rPr>
        <w:t>1</w:t>
      </w:r>
      <w:r>
        <w:rPr>
          <w:rFonts w:ascii="Arial" w:eastAsia="Times New Roman" w:hAnsi="Arial" w:cs="Arial"/>
          <w:color w:val="000000"/>
          <w:kern w:val="0"/>
        </w:rPr>
        <w:t>, which unites international communities with the goal to limit the increase of global average temperature by reducing greenhouse gas emissions (GHG). To meet these commits, the U.S.</w:t>
      </w:r>
      <w:r>
        <w:rPr>
          <w:rFonts w:ascii="Arial" w:eastAsia="Times New Roman" w:hAnsi="Arial" w:cs="Arial"/>
          <w:color w:val="000000"/>
          <w:kern w:val="0"/>
          <w:sz w:val="17"/>
          <w:szCs w:val="17"/>
          <w:vertAlign w:val="superscript"/>
        </w:rPr>
        <w:t>2</w:t>
      </w:r>
      <w:r>
        <w:rPr>
          <w:rFonts w:ascii="Arial" w:eastAsia="Times New Roman" w:hAnsi="Arial" w:cs="Arial"/>
          <w:color w:val="000000"/>
          <w:kern w:val="0"/>
        </w:rPr>
        <w:t>, Canada</w:t>
      </w:r>
      <w:r>
        <w:rPr>
          <w:rFonts w:ascii="Arial" w:eastAsia="Times New Roman" w:hAnsi="Arial" w:cs="Arial"/>
          <w:color w:val="000000"/>
          <w:kern w:val="0"/>
          <w:sz w:val="17"/>
          <w:szCs w:val="17"/>
          <w:vertAlign w:val="superscript"/>
        </w:rPr>
        <w:t>3</w:t>
      </w:r>
      <w:r>
        <w:rPr>
          <w:rFonts w:ascii="Arial" w:eastAsia="Times New Roman" w:hAnsi="Arial" w:cs="Arial"/>
          <w:color w:val="000000"/>
          <w:kern w:val="0"/>
        </w:rPr>
        <w:t>, and many other countries have committed to achieve net-zero emissions economies by 2050.</w:t>
      </w:r>
    </w:p>
    <w:p w14:paraId="105FA75E" w14:textId="77777777" w:rsidR="00131AA7" w:rsidRDefault="00B76019">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t>To support these national commitments, federal, state and local leaders introduce policies that drive more specific and actionable decarbonization strategies designed with local factors in mind.  For example,</w:t>
      </w:r>
    </w:p>
    <w:p w14:paraId="105FA75F" w14:textId="77777777" w:rsidR="00131AA7" w:rsidRDefault="00B76019">
      <w:pPr>
        <w:numPr>
          <w:ilvl w:val="0"/>
          <w:numId w:val="7"/>
        </w:numPr>
        <w:shd w:val="clear" w:color="auto" w:fill="FFFFFF"/>
        <w:spacing w:before="100" w:after="100" w:line="240" w:lineRule="auto"/>
      </w:pPr>
      <w:r>
        <w:rPr>
          <w:rFonts w:ascii="Arial" w:eastAsia="Times New Roman" w:hAnsi="Arial" w:cs="Arial"/>
          <w:b/>
          <w:bCs/>
          <w:i/>
          <w:iCs/>
          <w:color w:val="000000"/>
          <w:kern w:val="0"/>
        </w:rPr>
        <w:t>The Next Generation Energy Act</w:t>
      </w:r>
      <w:r>
        <w:rPr>
          <w:rFonts w:ascii="Arial" w:eastAsia="Times New Roman" w:hAnsi="Arial" w:cs="Arial"/>
          <w:color w:val="000000"/>
          <w:kern w:val="0"/>
        </w:rPr>
        <w:t>4</w:t>
      </w:r>
      <w:r>
        <w:rPr>
          <w:rFonts w:ascii="Arial" w:eastAsia="Times New Roman" w:hAnsi="Arial" w:cs="Arial"/>
          <w:i/>
          <w:iCs/>
          <w:color w:val="000000"/>
          <w:kern w:val="0"/>
        </w:rPr>
        <w:t> </w:t>
      </w:r>
      <w:r>
        <w:rPr>
          <w:rFonts w:ascii="Arial" w:eastAsia="Times New Roman" w:hAnsi="Arial" w:cs="Arial"/>
          <w:color w:val="000000"/>
          <w:kern w:val="0"/>
        </w:rPr>
        <w:t xml:space="preserve">– An example of a state-led policy in </w:t>
      </w:r>
      <w:r>
        <w:rPr>
          <w:rFonts w:ascii="Arial" w:eastAsia="Times New Roman" w:hAnsi="Arial" w:cs="Arial"/>
          <w:color w:val="000000"/>
          <w:kern w:val="0"/>
        </w:rPr>
        <w:t>Minnesota aimed at reducing GHG emissions by 80% by 2050 (against a 2005 baseline) through clean energy generation, energy efficiency, and renewable energy standards.</w:t>
      </w:r>
    </w:p>
    <w:p w14:paraId="105FA760" w14:textId="77777777" w:rsidR="00131AA7" w:rsidRDefault="00B76019">
      <w:pPr>
        <w:numPr>
          <w:ilvl w:val="0"/>
          <w:numId w:val="8"/>
        </w:numPr>
        <w:shd w:val="clear" w:color="auto" w:fill="FFFFFF"/>
        <w:spacing w:before="100" w:after="100" w:line="240" w:lineRule="auto"/>
      </w:pPr>
      <w:r>
        <w:rPr>
          <w:rFonts w:ascii="Arial" w:eastAsia="Times New Roman" w:hAnsi="Arial" w:cs="Arial"/>
          <w:i/>
          <w:iCs/>
          <w:color w:val="000000"/>
          <w:kern w:val="0"/>
        </w:rPr>
        <w:t>Minneapolis City Climate Action Plan</w:t>
      </w:r>
      <w:r>
        <w:rPr>
          <w:rFonts w:ascii="Arial" w:eastAsia="Times New Roman" w:hAnsi="Arial" w:cs="Arial"/>
          <w:i/>
          <w:iCs/>
          <w:color w:val="000000"/>
          <w:kern w:val="0"/>
          <w:sz w:val="17"/>
          <w:szCs w:val="17"/>
          <w:vertAlign w:val="superscript"/>
        </w:rPr>
        <w:t>5</w:t>
      </w:r>
      <w:r>
        <w:rPr>
          <w:rFonts w:ascii="Arial" w:eastAsia="Times New Roman" w:hAnsi="Arial" w:cs="Arial"/>
          <w:color w:val="000000"/>
          <w:kern w:val="0"/>
        </w:rPr>
        <w:t> - To support the state’s initiative, the city of Minneapolis has committed to introducing building performance standards and other related policies that reduce GHG emissions from existing buildings to ensure they exceed the state’s goal and reach net zero emissions by 2050.</w:t>
      </w:r>
    </w:p>
    <w:p w14:paraId="105FA761" w14:textId="77777777" w:rsidR="00131AA7" w:rsidRDefault="00B76019">
      <w:pPr>
        <w:numPr>
          <w:ilvl w:val="0"/>
          <w:numId w:val="9"/>
        </w:numPr>
        <w:shd w:val="clear" w:color="auto" w:fill="FFFFFF"/>
        <w:spacing w:before="100" w:after="100" w:line="240" w:lineRule="auto"/>
      </w:pPr>
      <w:r>
        <w:rPr>
          <w:rFonts w:ascii="Arial" w:eastAsia="Times New Roman" w:hAnsi="Arial" w:cs="Arial"/>
          <w:i/>
          <w:iCs/>
          <w:color w:val="000000"/>
          <w:kern w:val="0"/>
        </w:rPr>
        <w:t>Xcel Energy – Business Incentives</w:t>
      </w:r>
      <w:r>
        <w:rPr>
          <w:rFonts w:ascii="Arial" w:eastAsia="Times New Roman" w:hAnsi="Arial" w:cs="Arial"/>
          <w:i/>
          <w:iCs/>
          <w:color w:val="000000"/>
          <w:kern w:val="0"/>
          <w:sz w:val="17"/>
          <w:szCs w:val="17"/>
          <w:vertAlign w:val="superscript"/>
        </w:rPr>
        <w:t>6</w:t>
      </w:r>
      <w:r>
        <w:rPr>
          <w:rFonts w:ascii="Arial" w:eastAsia="Times New Roman" w:hAnsi="Arial" w:cs="Arial"/>
          <w:color w:val="000000"/>
          <w:kern w:val="0"/>
        </w:rPr>
        <w:t xml:space="preserve">To help building owners in Minneapolis meet these standards and support the state’s decarbonization goals, a local electric utility, Xcel Energy, introduced incentives that help   fund emissions reducing </w:t>
      </w:r>
      <w:r>
        <w:rPr>
          <w:rFonts w:ascii="Arial" w:eastAsia="Times New Roman" w:hAnsi="Arial" w:cs="Arial"/>
          <w:color w:val="000000"/>
          <w:kern w:val="0"/>
        </w:rPr>
        <w:lastRenderedPageBreak/>
        <w:t>building modernizations including energy efficiency and renewable technology solutions for HVAC, lighting, and on-site generation.</w:t>
      </w:r>
    </w:p>
    <w:p w14:paraId="105FA762" w14:textId="77777777" w:rsidR="00131AA7" w:rsidRDefault="00B76019">
      <w:pPr>
        <w:shd w:val="clear" w:color="auto" w:fill="FFFFFF"/>
        <w:spacing w:before="100" w:after="100" w:line="240" w:lineRule="auto"/>
        <w:outlineLvl w:val="2"/>
        <w:rPr>
          <w:rFonts w:ascii="Arial" w:eastAsia="Times New Roman" w:hAnsi="Arial" w:cs="Arial"/>
          <w:color w:val="000000"/>
          <w:kern w:val="0"/>
          <w:sz w:val="27"/>
          <w:szCs w:val="27"/>
        </w:rPr>
      </w:pPr>
      <w:r>
        <w:rPr>
          <w:rFonts w:ascii="Arial" w:eastAsia="Times New Roman" w:hAnsi="Arial" w:cs="Arial"/>
          <w:color w:val="000000"/>
          <w:kern w:val="0"/>
          <w:sz w:val="27"/>
          <w:szCs w:val="27"/>
        </w:rPr>
        <w:t>Committing To Decarbonization</w:t>
      </w:r>
    </w:p>
    <w:p w14:paraId="105FA763" w14:textId="77777777" w:rsidR="00131AA7" w:rsidRDefault="00B76019">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t xml:space="preserve">Decarbonizing the places where we live, work, and learn not only supports the improvement of indoor environmental quality and sustainability, but it also has significant impacts on a larger scale. At Trane, our experts can help you navigate local regulations and identify financial incentives as well as collaborate </w:t>
      </w:r>
      <w:proofErr w:type="gramStart"/>
      <w:r>
        <w:rPr>
          <w:rFonts w:ascii="Arial" w:eastAsia="Times New Roman" w:hAnsi="Arial" w:cs="Arial"/>
          <w:color w:val="000000"/>
          <w:kern w:val="0"/>
        </w:rPr>
        <w:t>and  develop</w:t>
      </w:r>
      <w:proofErr w:type="gramEnd"/>
      <w:r>
        <w:rPr>
          <w:rFonts w:ascii="Arial" w:eastAsia="Times New Roman" w:hAnsi="Arial" w:cs="Arial"/>
          <w:color w:val="000000"/>
          <w:kern w:val="0"/>
        </w:rPr>
        <w:t xml:space="preserve"> the right energy or infrastructure plan for your organization.</w:t>
      </w:r>
    </w:p>
    <w:p w14:paraId="105FA764" w14:textId="77777777" w:rsidR="00131AA7" w:rsidRDefault="00B76019">
      <w:pPr>
        <w:shd w:val="clear" w:color="auto" w:fill="FFFFFF"/>
        <w:spacing w:before="240" w:after="240" w:line="240" w:lineRule="auto"/>
      </w:pPr>
      <w:r>
        <w:rPr>
          <w:rFonts w:ascii="Arial" w:eastAsia="Times New Roman" w:hAnsi="Arial" w:cs="Arial"/>
          <w:color w:val="000000"/>
          <w:kern w:val="0"/>
        </w:rPr>
        <w:t>This topic is incredibly dynamic and ever evolving. For more information on key policies, regulations, and next steps, you can visit our </w:t>
      </w:r>
      <w:hyperlink r:id="rId8" w:history="1">
        <w:r>
          <w:rPr>
            <w:rFonts w:ascii="Arial" w:eastAsia="Times New Roman" w:hAnsi="Arial" w:cs="Arial"/>
            <w:color w:val="000000"/>
            <w:kern w:val="0"/>
            <w:u w:val="single"/>
          </w:rPr>
          <w:t>legislation and incentives resource center</w:t>
        </w:r>
      </w:hyperlink>
      <w:r>
        <w:rPr>
          <w:rFonts w:ascii="Arial" w:eastAsia="Times New Roman" w:hAnsi="Arial" w:cs="Arial"/>
          <w:color w:val="000000"/>
          <w:kern w:val="0"/>
        </w:rPr>
        <w:t>.</w:t>
      </w:r>
    </w:p>
    <w:p w14:paraId="105FA765" w14:textId="77777777" w:rsidR="00131AA7" w:rsidRDefault="00B76019">
      <w:pPr>
        <w:shd w:val="clear" w:color="auto" w:fill="FFFFFF"/>
        <w:spacing w:before="240" w:after="240" w:line="240" w:lineRule="auto"/>
      </w:pPr>
      <w:r>
        <w:rPr>
          <w:rFonts w:ascii="Arial" w:eastAsia="Times New Roman" w:hAnsi="Arial" w:cs="Arial"/>
          <w:i/>
          <w:iCs/>
          <w:color w:val="000000"/>
          <w:kern w:val="0"/>
        </w:rPr>
        <w:t xml:space="preserve">Disclaimer: Trane does not provide tax, legal, or accounting advice. This material is for informational purposes only and it should not be relied on for tax, legal, or </w:t>
      </w:r>
      <w:r>
        <w:rPr>
          <w:rFonts w:ascii="Arial" w:eastAsia="Times New Roman" w:hAnsi="Arial" w:cs="Arial"/>
          <w:i/>
          <w:iCs/>
          <w:color w:val="000000"/>
          <w:kern w:val="0"/>
        </w:rPr>
        <w:t>accounting advice. Tax law is subject to continual change. All decisions are your responsibility, and you should consult your own tax, legal, and accounting advisors. Trane disclaims any responsibility for actions taken on the material presented.</w:t>
      </w:r>
    </w:p>
    <w:p w14:paraId="105FA766" w14:textId="77777777" w:rsidR="00131AA7" w:rsidRDefault="00131AA7">
      <w:pPr>
        <w:rPr>
          <w:sz w:val="40"/>
          <w:szCs w:val="40"/>
        </w:rPr>
      </w:pPr>
    </w:p>
    <w:sectPr w:rsidR="00131A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FA751" w14:textId="77777777" w:rsidR="00B76019" w:rsidRDefault="00B76019">
      <w:pPr>
        <w:spacing w:after="0" w:line="240" w:lineRule="auto"/>
      </w:pPr>
      <w:r>
        <w:separator/>
      </w:r>
    </w:p>
  </w:endnote>
  <w:endnote w:type="continuationSeparator" w:id="0">
    <w:p w14:paraId="105FA753" w14:textId="77777777" w:rsidR="00B76019" w:rsidRDefault="00B7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FA74D" w14:textId="77777777" w:rsidR="00B76019" w:rsidRDefault="00B76019">
      <w:pPr>
        <w:spacing w:after="0" w:line="240" w:lineRule="auto"/>
      </w:pPr>
      <w:r>
        <w:rPr>
          <w:color w:val="000000"/>
        </w:rPr>
        <w:separator/>
      </w:r>
    </w:p>
  </w:footnote>
  <w:footnote w:type="continuationSeparator" w:id="0">
    <w:p w14:paraId="105FA74F" w14:textId="77777777" w:rsidR="00B76019" w:rsidRDefault="00B76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00D34"/>
    <w:multiLevelType w:val="multilevel"/>
    <w:tmpl w:val="798AFF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1E36383"/>
    <w:multiLevelType w:val="multilevel"/>
    <w:tmpl w:val="BE3C97A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EE00EA8"/>
    <w:multiLevelType w:val="multilevel"/>
    <w:tmpl w:val="DAF6C03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31DA2A39"/>
    <w:multiLevelType w:val="multilevel"/>
    <w:tmpl w:val="1C30C9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41EF3D4D"/>
    <w:multiLevelType w:val="multilevel"/>
    <w:tmpl w:val="0BFADCC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431F3325"/>
    <w:multiLevelType w:val="multilevel"/>
    <w:tmpl w:val="A11C5D9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507F5B39"/>
    <w:multiLevelType w:val="multilevel"/>
    <w:tmpl w:val="D9F0873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595841E1"/>
    <w:multiLevelType w:val="multilevel"/>
    <w:tmpl w:val="49580C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7BAB237E"/>
    <w:multiLevelType w:val="multilevel"/>
    <w:tmpl w:val="C8D6535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535238350">
    <w:abstractNumId w:val="8"/>
  </w:num>
  <w:num w:numId="2" w16cid:durableId="868567280">
    <w:abstractNumId w:val="0"/>
  </w:num>
  <w:num w:numId="3" w16cid:durableId="2063476773">
    <w:abstractNumId w:val="6"/>
  </w:num>
  <w:num w:numId="4" w16cid:durableId="1605765328">
    <w:abstractNumId w:val="5"/>
  </w:num>
  <w:num w:numId="5" w16cid:durableId="905383926">
    <w:abstractNumId w:val="2"/>
  </w:num>
  <w:num w:numId="6" w16cid:durableId="2001807455">
    <w:abstractNumId w:val="1"/>
  </w:num>
  <w:num w:numId="7" w16cid:durableId="2004384714">
    <w:abstractNumId w:val="4"/>
  </w:num>
  <w:num w:numId="8" w16cid:durableId="951976711">
    <w:abstractNumId w:val="7"/>
  </w:num>
  <w:num w:numId="9" w16cid:durableId="1963227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31AA7"/>
    <w:rsid w:val="000E6638"/>
    <w:rsid w:val="00131AA7"/>
    <w:rsid w:val="00B7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A74D"/>
  <w15:docId w15:val="{73D6AEEA-7786-453F-AB42-2B9CE846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rmalWeb">
    <w:name w:val="Normal (Web)"/>
    <w:basedOn w:val="Normal"/>
    <w:pPr>
      <w:spacing w:before="100" w:after="100" w:line="240" w:lineRule="auto"/>
    </w:pPr>
    <w:rPr>
      <w:rFonts w:ascii="Times New Roman" w:eastAsia="Times New Roman" w:hAnsi="Times New Roman"/>
      <w:kern w:val="0"/>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rane.com/commercial/north-america/us/en/legislation-and-incentives-resource-center.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Evan</dc:creator>
  <dc:description/>
  <cp:lastModifiedBy>Johnson, Evan</cp:lastModifiedBy>
  <cp:revision>2</cp:revision>
  <dcterms:created xsi:type="dcterms:W3CDTF">2024-06-26T20:19:00Z</dcterms:created>
  <dcterms:modified xsi:type="dcterms:W3CDTF">2024-06-26T20:19:00Z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2024-06-26T19:50:48Z</vt:lpwstr>
  </property>
  <property fmtid="{D5CDD505-2E9C-101B-9397-08002B2CF9AE}" pid="4" name="MSIP_Label_162b2348-a379-47d7-bf25-1402d7b08038_Method">
    <vt:lpwstr>Standard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5119c3a8-d8fb-4e5e-9d7b-c2d1ec44dc99</vt:lpwstr>
  </property>
  <property fmtid="{D5CDD505-2E9C-101B-9397-08002B2CF9AE}" pid="8" name="MSIP_Label_162b2348-a379-47d7-bf25-1402d7b08038_ContentBits">
    <vt:lpwstr>0</vt:lpwstr>
  </property>
</Properties>
</file>