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2545"/>
          <w:sz w:val="36"/>
        </w:rPr>
        <w:t>Commercial Mold Risk After Deferred Maintenance: What Facility Managers Should Track Before It Becomes a Capital Problem</w:t>
      </w:r>
    </w:p>
    <w:p>
      <w:r>
        <w:rPr>
          <w:i/>
          <w:color w:val="555555"/>
        </w:rPr>
        <w:t>Prepared for IFMA Knowledge Library consideration | 2026</w:t>
      </w:r>
    </w:p>
    <w:p>
      <w:pPr>
        <w:pStyle w:val="Heading1"/>
      </w:pPr>
      <w:r>
        <w:t>Short Description</w:t>
      </w:r>
    </w:p>
    <w:p>
      <w:r>
        <w:t>Moisture problems often become capital problems only after they have already become documentation problems. This article gives facility managers a practical, non-promotional framework for tracking leaks, humidity, occupant complaints, visible growth, material damage, vendor findings, and remediation records before a moisture event turns into an indoor air quality dispute, insurance issue, tenant conflict, or unplanned capital request.</w:t>
      </w:r>
    </w:p>
    <w:p>
      <w:pPr>
        <w:pStyle w:val="Heading1"/>
      </w:pPr>
      <w:r>
        <w:t>Why Facility Teams Should Treat Mold Risk as a Recordkeeping Issue</w:t>
      </w:r>
    </w:p>
    <w:p>
      <w:r>
        <w:t>Most commercial mold issues do not begin as mold projects. They begin as roof leaks, plumbing failures, condensation around mechanical systems, wet ceiling tiles, poorly dried materials, or repeated comfort complaints that sit in separate maintenance notes. By the time visible growth is obvious, the facility team may be missing the timeline needed to explain what happened, what was observed, who was notified, and which corrective actions were taken.</w:t>
      </w:r>
    </w:p>
    <w:p>
      <w:r>
        <w:t>EPA's commercial-building mold guidance emphasizes that mold growth can be controlled indoors by controlling moisture, and that delayed or insufficient maintenance is one of the moisture conditions associated with schools and large buildings. OSHA's indoor air quality overview similarly treats water damage, mold, humidity, ventilation, and remodeling activity as common contributors to workplace IAQ complaints. Those sources point facility teams toward a simple operating principle: the first defensible mold-control system is not a lab report. It is a consistent moisture and response record.</w:t>
      </w:r>
    </w:p>
    <w:p>
      <w:r>
        <w:t>Good documentation does not prove medical causation, replace professional assessment, or turn a facilities department into a remediation contractor. Its value is narrower and more practical. It helps the organization see repeated moisture patterns, escalate the right situations, communicate with occupants, give vendors a reliable history, and preserve the facts needed for budgeting, insurance, lease discussions, and post-remediation verification.</w:t>
      </w:r>
    </w:p>
    <w:p>
      <w:pPr>
        <w:pStyle w:val="Heading1"/>
      </w:pPr>
      <w:r>
        <w:t>The Seven Records That Matter Most</w:t>
      </w:r>
    </w:p>
    <w:p>
      <w:pPr>
        <w:pStyle w:val="ListNumber"/>
      </w:pPr>
      <w:r>
        <w:rPr>
          <w:b/>
        </w:rPr>
        <w:t>1. Moisture event log</w:t>
      </w:r>
      <w:r>
        <w:t>: Record the date, time, location, source, affected materials, first responder, and immediate action for every roof leak, pipe leak, intrusion event, overflow, condensation issue, or humidity incident. Keep small events in the same system as large ones so patterns are visible.</w:t>
      </w:r>
    </w:p>
    <w:p>
      <w:pPr>
        <w:pStyle w:val="ListNumber"/>
      </w:pPr>
      <w:r>
        <w:rPr>
          <w:b/>
        </w:rPr>
        <w:t>2. Drying and access notes</w:t>
      </w:r>
      <w:r>
        <w:t>: Record when water was stopped, when materials were removed or dried, whether cavities were opened, whether areas were inaccessible, and whether drying was confirmed. A simple note that says 'cleaned' is weaker than a timeline that shows water control, material handling, drying, and follow-up.</w:t>
      </w:r>
    </w:p>
    <w:p>
      <w:pPr>
        <w:pStyle w:val="ListNumber"/>
      </w:pPr>
      <w:r>
        <w:rPr>
          <w:b/>
        </w:rPr>
        <w:t>3. Occupant communication history</w:t>
      </w:r>
      <w:r>
        <w:t>: Log complaints about odors, dampness, irritation, visible staining, or recurring comfort problems without diagnosing health effects. Document the concern, space, timing, response, and follow-up. OSHA notes that IAQ can affect health, comfort, and ability to work, so consistent complaint handling is part of risk management.</w:t>
      </w:r>
    </w:p>
    <w:p>
      <w:pPr>
        <w:pStyle w:val="ListNumber"/>
      </w:pPr>
      <w:r>
        <w:rPr>
          <w:b/>
        </w:rPr>
        <w:t>4. Visual and odor observations</w:t>
      </w:r>
      <w:r>
        <w:t>: Use structured observation before sampling. NIOSH's Dampness and Mold Assessment Tool is built around visual and olfactory assessment because moisture damage and mold-related indicators can often be documented without complex sampling. Facility teams can adapt that principle by using consistent room-by-room observation fields.</w:t>
      </w:r>
    </w:p>
    <w:p>
      <w:pPr>
        <w:pStyle w:val="ListNumber"/>
      </w:pPr>
      <w:r>
        <w:rPr>
          <w:b/>
        </w:rPr>
        <w:t>5. HVAC and humidity context</w:t>
      </w:r>
      <w:r>
        <w:t>: Track condensate pan conditions, duct liner concerns, filter or drain problems, room humidity patterns, and ventilation complaints. ASHRAE identifies Standard 62.1 as the recognized commercial and institutional ventilation and acceptable IAQ standard, and its 2025 description includes building operations and maintenance plus humidity control requirements.</w:t>
      </w:r>
    </w:p>
    <w:p>
      <w:pPr>
        <w:pStyle w:val="ListNumber"/>
      </w:pPr>
      <w:r>
        <w:rPr>
          <w:b/>
        </w:rPr>
        <w:t>6. Vendor scope and remediation records</w:t>
      </w:r>
      <w:r>
        <w:t>: Keep assessment findings, remediation scopes, containment notes, disposal records, cleaning methods, PPE/containment assumptions, photographs, and clearance or post-remediation verification documents in one incident file. EPA's commercial mold guide stresses fixing the water or humidity problem, communicating with occupants as appropriate, and cleaning/drying damaged areas.</w:t>
      </w:r>
    </w:p>
    <w:p>
      <w:pPr>
        <w:pStyle w:val="ListNumber"/>
      </w:pPr>
      <w:r>
        <w:rPr>
          <w:b/>
        </w:rPr>
        <w:t>7. Decision notes for escalation</w:t>
      </w:r>
      <w:r>
        <w:t>: Define when a facilities team stops treating the matter as routine maintenance and escalates to environmental assessment, industrial hygiene, legal/risk management, insurance, ownership, or outside remediation. Document why the escalation decision was made, including uncertainty or access limitations.</w:t>
      </w:r>
    </w:p>
    <w:p>
      <w:pPr>
        <w:pStyle w:val="Heading1"/>
      </w:pPr>
      <w:r>
        <w:t>A Practical Trigger Matrix</w:t>
      </w:r>
    </w:p>
    <w:p>
      <w:r>
        <w:t>The following matrix is intentionally operational rather than diagnostic. It helps a facility team decide when to collect more records, communicate more clearly, or escalate the matter.</w:t>
      </w:r>
    </w:p>
    <w:tbl>
      <w:tblPr>
        <w:tblStyle w:val="TableGrid"/>
        <w:tblW w:type="auto" w:w="0"/>
        <w:tblLook w:firstColumn="1" w:firstRow="1" w:lastColumn="0" w:lastRow="0" w:noHBand="0" w:noVBand="1" w:val="04A0"/>
      </w:tblPr>
      <w:tblGrid>
        <w:gridCol w:w="3120"/>
        <w:gridCol w:w="3120"/>
        <w:gridCol w:w="3120"/>
      </w:tblGrid>
      <w:tr>
        <w:tc>
          <w:tcPr>
            <w:tcW w:type="dxa" w:w="3120"/>
            <w:shd w:fill="F2F4F7"/>
          </w:tcPr>
          <w:p>
            <w:r>
              <w:t>Trigger</w:t>
            </w:r>
          </w:p>
        </w:tc>
        <w:tc>
          <w:tcPr>
            <w:tcW w:type="dxa" w:w="3120"/>
            <w:shd w:fill="F2F4F7"/>
          </w:tcPr>
          <w:p>
            <w:r>
              <w:t>What to document</w:t>
            </w:r>
          </w:p>
        </w:tc>
        <w:tc>
          <w:tcPr>
            <w:tcW w:type="dxa" w:w="3120"/>
            <w:shd w:fill="F2F4F7"/>
          </w:tcPr>
          <w:p>
            <w:r>
              <w:t>Likely next step</w:t>
            </w:r>
          </w:p>
        </w:tc>
      </w:tr>
      <w:tr>
        <w:tc>
          <w:tcPr>
            <w:tcW w:type="dxa" w:w="3120"/>
          </w:tcPr>
          <w:p>
            <w:r>
              <w:t>Water intrusion affecting porous materials</w:t>
            </w:r>
          </w:p>
        </w:tc>
        <w:tc>
          <w:tcPr>
            <w:tcW w:type="dxa" w:w="3120"/>
          </w:tcPr>
          <w:p>
            <w:r>
              <w:t>Source, duration, materials, photos, drying/removal timeline</w:t>
            </w:r>
          </w:p>
        </w:tc>
        <w:tc>
          <w:tcPr>
            <w:tcW w:type="dxa" w:w="3120"/>
          </w:tcPr>
          <w:p>
            <w:r>
              <w:t>Treat as more than routine cleanup if drying cannot be verified promptly.</w:t>
            </w:r>
          </w:p>
        </w:tc>
      </w:tr>
      <w:tr>
        <w:tc>
          <w:tcPr>
            <w:tcW w:type="dxa" w:w="3120"/>
          </w:tcPr>
          <w:p>
            <w:r>
              <w:t>Musty odor with no visible source</w:t>
            </w:r>
          </w:p>
        </w:tc>
        <w:tc>
          <w:tcPr>
            <w:tcW w:type="dxa" w:w="3120"/>
          </w:tcPr>
          <w:p>
            <w:r>
              <w:t>Rooms affected, timing, HVAC status, recent leaks, occupant reports</w:t>
            </w:r>
          </w:p>
        </w:tc>
        <w:tc>
          <w:tcPr>
            <w:tcW w:type="dxa" w:w="3120"/>
          </w:tcPr>
          <w:p>
            <w:r>
              <w:t>Inspect likely hidden-moisture areas cautiously before disturbing materials.</w:t>
            </w:r>
          </w:p>
        </w:tc>
      </w:tr>
      <w:tr>
        <w:tc>
          <w:tcPr>
            <w:tcW w:type="dxa" w:w="3120"/>
          </w:tcPr>
          <w:p>
            <w:r>
              <w:t>Recurring ceiling tile or wall staining</w:t>
            </w:r>
          </w:p>
        </w:tc>
        <w:tc>
          <w:tcPr>
            <w:tcW w:type="dxa" w:w="3120"/>
          </w:tcPr>
          <w:p>
            <w:r>
              <w:t>Dates, replacement history, roof/plumbing notes, above-ceiling observations</w:t>
            </w:r>
          </w:p>
        </w:tc>
        <w:tc>
          <w:tcPr>
            <w:tcW w:type="dxa" w:w="3120"/>
          </w:tcPr>
          <w:p>
            <w:r>
              <w:t>Look for unresolved source rather than repeatedly replacing finishes.</w:t>
            </w:r>
          </w:p>
        </w:tc>
      </w:tr>
      <w:tr>
        <w:tc>
          <w:tcPr>
            <w:tcW w:type="dxa" w:w="3120"/>
          </w:tcPr>
          <w:p>
            <w:r>
              <w:t>Condensate or HVAC moisture issue</w:t>
            </w:r>
          </w:p>
        </w:tc>
        <w:tc>
          <w:tcPr>
            <w:tcW w:type="dxa" w:w="3120"/>
          </w:tcPr>
          <w:p>
            <w:r>
              <w:t>Drain pan condition, humidity readings if available, maintenance actions, affected zones</w:t>
            </w:r>
          </w:p>
        </w:tc>
        <w:tc>
          <w:tcPr>
            <w:tcW w:type="dxa" w:w="3120"/>
          </w:tcPr>
          <w:p>
            <w:r>
              <w:t>Escalate if moisture is recurring or materials are affected.</w:t>
            </w:r>
          </w:p>
        </w:tc>
      </w:tr>
      <w:tr>
        <w:tc>
          <w:tcPr>
            <w:tcW w:type="dxa" w:w="3120"/>
          </w:tcPr>
          <w:p>
            <w:r>
              <w:t>Occupant complaints after a leak or renovation</w:t>
            </w:r>
          </w:p>
        </w:tc>
        <w:tc>
          <w:tcPr>
            <w:tcW w:type="dxa" w:w="3120"/>
          </w:tcPr>
          <w:p>
            <w:r>
              <w:t>Complaint dates, spaces, work history, communication, corrective steps</w:t>
            </w:r>
          </w:p>
        </w:tc>
        <w:tc>
          <w:tcPr>
            <w:tcW w:type="dxa" w:w="3120"/>
          </w:tcPr>
          <w:p>
            <w:r>
              <w:t>Coordinate facilities, HR/risk, and qualified IAQ support as appropriate.</w:t>
            </w:r>
          </w:p>
        </w:tc>
      </w:tr>
    </w:tbl>
    <w:p>
      <w:r>
        <w:t>Source note: This matrix is based on the documentation themes in EPA, OSHA, NIOSH, and ASHRAE guidance listed below.</w:t>
      </w:r>
    </w:p>
    <w:p>
      <w:pPr>
        <w:pStyle w:val="Heading1"/>
      </w:pPr>
      <w:r>
        <w:t>What Not to Overstate</w:t>
      </w:r>
    </w:p>
    <w:p>
      <w:r>
        <w:t>Facility documentation should not be framed as a medical conclusion. CDC/NIOSH notes that damp buildings are associated with respiratory symptoms, asthma development or worsening, hypersensitivity pneumonitis, allergic rhinitis, bronchitis, respiratory infections, and eczema, but an individual building file normally cannot determine causation by itself.</w:t>
      </w:r>
    </w:p>
    <w:p>
      <w:r>
        <w:t>Likewise, a clean-looking room does not prove the absence of a moisture problem, and a single sample rarely tells the whole story. EPA warns that hidden mold may be suspected when a building smells moldy, when water damage is known, or when occupants report health problems, and that disturbing potential mold sites can release spores. This is why documentation should separate observations, occupant communications, maintenance records, professional findings, and final decisions.</w:t>
      </w:r>
    </w:p>
    <w:p>
      <w:r>
        <w:t>The goal is not to create an alarming file. The goal is to create a useful one.</w:t>
      </w:r>
    </w:p>
    <w:p>
      <w:pPr>
        <w:pStyle w:val="Heading1"/>
      </w:pPr>
      <w:r>
        <w:t>A Facility Manager's File Structure</w:t>
      </w:r>
    </w:p>
    <w:p>
      <w:r>
        <w:t>One effective approach is to give each moisture or mold concern an incident folder with six sections: intake, source control, affected materials, occupant communication, vendor/professional records, and closure. Each section should include dates, locations, responsible parties, photos where useful, and open questions.</w:t>
      </w:r>
    </w:p>
    <w:p>
      <w:r>
        <w:t>The closure section should be especially clear. A closed file should explain the moisture source, the corrective action, the materials addressed, any limitations, and the follow-up plan. If the organization chose not to remove a material, open a wall cavity, sample, relocate occupants, or hire a specialist, the file should record the reason. Those decisions may be reasonable, but they should not be invisible.</w:t>
      </w:r>
    </w:p>
    <w:p>
      <w:pPr>
        <w:pStyle w:val="Heading1"/>
      </w:pPr>
      <w:r>
        <w:t>Conclusion</w:t>
      </w:r>
    </w:p>
    <w:p>
      <w:r>
        <w:t>Mold risk in commercial buildings is rarely just a cleaning issue. It is a moisture-control, communication, documentation, and escalation issue. Facility managers do not need to turn every stain into a major project, but they do need a reliable way to track the conditions that can turn a small maintenance item into a capital, legal, health, or tenant-relations problem. A disciplined recordkeeping process gives the team a better chance to fix moisture early, communicate calmly, and bring in the right professional support when the facts justify it.</w:t>
      </w:r>
    </w:p>
    <w:p>
      <w:pPr>
        <w:pStyle w:val="Heading1"/>
      </w:pPr>
      <w:r>
        <w:t>About the Author</w:t>
      </w:r>
    </w:p>
    <w:p>
      <w:r>
        <w:rPr>
          <w:b/>
        </w:rPr>
        <w:t>Meyer Stein</w:t>
      </w:r>
      <w:r>
        <w:t xml:space="preserve"> works with Northeast Mold Experts, a regional mold and indoor air quality resource serving property owners and facility stakeholders in the Northeast. This article is provided for educational purposes and is not legal, medical, or industrial hygiene advice.</w:t>
      </w:r>
    </w:p>
    <w:p>
      <w:pPr>
        <w:pStyle w:val="Heading1"/>
      </w:pPr>
      <w:r>
        <w:t>Sources</w:t>
      </w:r>
    </w:p>
    <w:p>
      <w:pPr>
        <w:pStyle w:val="ListBullet"/>
      </w:pPr>
      <w:r>
        <w:t xml:space="preserve">EPA, Mold Remediation in Schools and Commercial Buildings Guide, Chapter 1: </w:t>
      </w:r>
      <w:hyperlink r:id="rId9">
        <w:r>
          <w:rPr>
            <w:color w:val="0563C1"/>
            <w:u w:val="single"/>
          </w:rPr>
          <w:t>https://www.epa.gov/mold/mold-remediation-schools-and-commercial-buildings-guide-chapter-1</w:t>
        </w:r>
      </w:hyperlink>
    </w:p>
    <w:p>
      <w:pPr>
        <w:pStyle w:val="ListBullet"/>
      </w:pPr>
      <w:r>
        <w:t xml:space="preserve">EPA, Mold Remediation in Schools and Commercial Buildings Guide, Chapter 3: </w:t>
      </w:r>
      <w:hyperlink r:id="rId10">
        <w:r>
          <w:rPr>
            <w:color w:val="0563C1"/>
            <w:u w:val="single"/>
          </w:rPr>
          <w:t>https://www.epa.gov/mold/mold-remediation-schools-and-commercial-buildings-guide-chapter-3</w:t>
        </w:r>
      </w:hyperlink>
    </w:p>
    <w:p>
      <w:pPr>
        <w:pStyle w:val="ListBullet"/>
      </w:pPr>
      <w:r>
        <w:t xml:space="preserve">EPA, Moisture Control Guidance for Building Design, Construction and Maintenance: </w:t>
      </w:r>
      <w:hyperlink r:id="rId11">
        <w:r>
          <w:rPr>
            <w:color w:val="0563C1"/>
            <w:u w:val="single"/>
          </w:rPr>
          <w:t>https://www.epa.gov/indoor-air-quality-iaq/moisture-control-guidance-building-design-construction-and-maintenance-0</w:t>
        </w:r>
      </w:hyperlink>
    </w:p>
    <w:p>
      <w:pPr>
        <w:pStyle w:val="ListBullet"/>
      </w:pPr>
      <w:r>
        <w:t xml:space="preserve">OSHA, Indoor Air Quality Overview: </w:t>
      </w:r>
      <w:hyperlink r:id="rId12">
        <w:r>
          <w:rPr>
            <w:color w:val="0563C1"/>
            <w:u w:val="single"/>
          </w:rPr>
          <w:t>https://www.osha.gov/indoor-air-quality</w:t>
        </w:r>
      </w:hyperlink>
    </w:p>
    <w:p>
      <w:pPr>
        <w:pStyle w:val="ListBullet"/>
      </w:pPr>
      <w:r>
        <w:t xml:space="preserve">OSHA, Indoor Air Quality Frequently Asked Questions: </w:t>
      </w:r>
      <w:hyperlink r:id="rId13">
        <w:r>
          <w:rPr>
            <w:color w:val="0563C1"/>
            <w:u w:val="single"/>
          </w:rPr>
          <w:t>https://www.osha.gov/indoor-air-quality/faqs/</w:t>
        </w:r>
      </w:hyperlink>
    </w:p>
    <w:p>
      <w:pPr>
        <w:pStyle w:val="ListBullet"/>
      </w:pPr>
      <w:r>
        <w:t xml:space="preserve">CDC/NIOSH, Health Problems: Mold: </w:t>
      </w:r>
      <w:hyperlink r:id="rId14">
        <w:r>
          <w:rPr>
            <w:color w:val="0563C1"/>
            <w:u w:val="single"/>
          </w:rPr>
          <w:t>https://www.cdc.gov/niosh/mold/health-problems/index.html</w:t>
        </w:r>
      </w:hyperlink>
    </w:p>
    <w:p>
      <w:pPr>
        <w:pStyle w:val="ListBullet"/>
      </w:pPr>
      <w:r>
        <w:t xml:space="preserve">CDC/NIOSH, Dampness and Mold Assessment Tool - General Buildings: </w:t>
      </w:r>
      <w:hyperlink r:id="rId15">
        <w:r>
          <w:rPr>
            <w:color w:val="0563C1"/>
            <w:u w:val="single"/>
          </w:rPr>
          <w:t>https://www.cdc.gov/niosh/docs/2019-115/default.html</w:t>
        </w:r>
      </w:hyperlink>
    </w:p>
    <w:p>
      <w:pPr>
        <w:pStyle w:val="ListBullet"/>
      </w:pPr>
      <w:r>
        <w:t xml:space="preserve">Park and Cox-Ganser, NIOSH Dampness and Mold Assessment Tool documentation and application, Buildings, 2022: </w:t>
      </w:r>
      <w:hyperlink r:id="rId16">
        <w:r>
          <w:rPr>
            <w:color w:val="0563C1"/>
            <w:u w:val="single"/>
          </w:rPr>
          <w:t>https://stacks.cdc.gov/view/cdc/128733</w:t>
        </w:r>
      </w:hyperlink>
    </w:p>
    <w:p>
      <w:pPr>
        <w:pStyle w:val="ListBullet"/>
      </w:pPr>
      <w:r>
        <w:t xml:space="preserve">ASHRAE, Standards 62.1 and 62.2: </w:t>
      </w:r>
      <w:hyperlink r:id="rId17">
        <w:r>
          <w:rPr>
            <w:color w:val="0563C1"/>
            <w:u w:val="single"/>
          </w:rPr>
          <w:t>https://www.ashrae.org/technical-resources/bookstore/standards-62-1-62-2</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eastAsia="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eastAsia="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eastAsia="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pa.gov/mold/mold-remediation-schools-and-commercial-buildings-guide-chapter-1" TargetMode="External"/><Relationship Id="rId10" Type="http://schemas.openxmlformats.org/officeDocument/2006/relationships/hyperlink" Target="https://www.epa.gov/mold/mold-remediation-schools-and-commercial-buildings-guide-chapter-3" TargetMode="External"/><Relationship Id="rId11" Type="http://schemas.openxmlformats.org/officeDocument/2006/relationships/hyperlink" Target="https://www.epa.gov/indoor-air-quality-iaq/moisture-control-guidance-building-design-construction-and-maintenance-0" TargetMode="External"/><Relationship Id="rId12" Type="http://schemas.openxmlformats.org/officeDocument/2006/relationships/hyperlink" Target="https://www.osha.gov/indoor-air-quality" TargetMode="External"/><Relationship Id="rId13" Type="http://schemas.openxmlformats.org/officeDocument/2006/relationships/hyperlink" Target="https://www.osha.gov/indoor-air-quality/faqs/" TargetMode="External"/><Relationship Id="rId14" Type="http://schemas.openxmlformats.org/officeDocument/2006/relationships/hyperlink" Target="https://www.cdc.gov/niosh/mold/health-problems/index.html" TargetMode="External"/><Relationship Id="rId15" Type="http://schemas.openxmlformats.org/officeDocument/2006/relationships/hyperlink" Target="https://www.cdc.gov/niosh/docs/2019-115/default.html" TargetMode="External"/><Relationship Id="rId16" Type="http://schemas.openxmlformats.org/officeDocument/2006/relationships/hyperlink" Target="https://stacks.cdc.gov/view/cdc/128733" TargetMode="External"/><Relationship Id="rId17" Type="http://schemas.openxmlformats.org/officeDocument/2006/relationships/hyperlink" Target="https://www.ashrae.org/technical-resources/bookstore/standards-6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Mold Risk After Deferred Maintenance</dc:title>
  <dc:subject>Commercial mold risk, indoor air quality, documentation, and facility management</dc:subject>
  <dc:creator>Meyer Stein</dc:creator>
  <cp:keywords>facility management, mold, indoor air quality, moisture control, remediation documentation</cp:keywords>
  <dc:description>generated by python-docx</dc:description>
  <cp:lastModifiedBy/>
  <cp:revision>1</cp:revision>
  <dcterms:created xsi:type="dcterms:W3CDTF">2013-12-23T23:15:00Z</dcterms:created>
  <dcterms:modified xsi:type="dcterms:W3CDTF">2013-12-23T23:15:00Z</dcterms:modified>
  <cp:category/>
</cp:coreProperties>
</file>